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PreisG</w:t>
      </w:r>
    </w:p>
    <w:p>
      <w:r>
        <w:rPr>
          <w:color w:val="555555"/>
          <w:sz w:val="18"/>
        </w:rPr>
        <w:t xml:space="preserve">Preisgesetz</w:t>
      </w:r>
    </w:p>
    <w:p>
      <w:r>
        <w:rPr>
          <w:color w:val="555555"/>
          <w:sz w:val="18"/>
        </w:rPr>
        <w:t xml:space="preserve">Stand: 10.06.2019 (konsolidierte Textfassung, kein amtliches Inkrafttretensdatum)</w:t>
      </w:r>
    </w:p>
    <w:p>
      <w:r>
        <w:t xml:space="preserve">Der Wirtschaftsrat ist zuständig für die allgemeinen Grundsätze der Preispolitik für das Vereinigte Wirtschaftsgebiet. Eine Veränderung der Preise von Waren und Leistungen, die eine grundlegende Bedeutung für den gesamten Preisstand, insbesondere die Lebenshaltung, hat, bedarf der Zustimmung des Wirtschaftsrates. Dieser Zustimmung bedarf es nicht, wenn die Veränderung der Preise nur zu dem Zweck erfolgt, um auf dem Markt bestehende offensichtliche Mißstände zu beseitigen, ohne daß dadurch der gesamte Preisstand, insbesondere die Lebenshaltung ungünstig beeinflußt wird.</w:t>
      </w:r>
    </w:p>
    <w:p>
      <w:r>
        <w:rPr>
          <w:color w:val="555555"/>
          <w:sz w:val="17"/>
        </w:rPr>
        <w:t xml:space="preserve">Zitiervorschlag: § 1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