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PrVbG (Bayern) — Aufsicht</w:t>
      </w:r>
    </w:p>
    <w:p>
      <w:r>
        <w:rPr>
          <w:color w:val="555555"/>
          <w:sz w:val="18"/>
        </w:rPr>
        <w:t xml:space="preserve">Prüfungsverbandsgesetz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 über den Prüfungsverband führt das Staatsministerium. Die Vorschriften über die Rechtsaufsicht über Gemeinden gelten entsprechend.</w:t>
      </w:r>
    </w:p>
    <w:p>
      <w:r>
        <w:t xml:space="preserve">(2) Das Staatsministerium bestellt einen ständigen Beauftragten (Staatsbeauftragter), der zu allen Sitzungen des Landesausschusses und des Vorstands des Prüfungsverbands einzuladen ist und dort beratende Stimme hat.</w:t>
      </w:r>
    </w:p>
    <w:p>
      <w:r>
        <w:t xml:space="preserve">(3) Die Satzung des Prüfungsverbands bedarf der Genehmigung des Staatsministeriums; sie ist im Bayerischen Ministerialblatt zu veröffentlichen.</w:t>
      </w:r>
    </w:p>
    <w:p>
      <w:r>
        <w:rPr>
          <w:color w:val="555555"/>
          <w:sz w:val="17"/>
        </w:rPr>
        <w:t xml:space="preserve">Zitiervorschlag: Art 6 PrVbG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https://recht.nulegal.eu/gesetze/PrVbG/6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