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PrKultbSaV</w:t>
      </w:r>
    </w:p>
    <w:p>
      <w:r>
        <w:rPr>
          <w:color w:val="555555"/>
          <w:sz w:val="18"/>
        </w:rPr>
        <w:t xml:space="preserve">Verordnung über die Satzung der Stiftung "Preußischer Kulturbesitz"</w:t>
      </w:r>
    </w:p>
    <w:p>
      <w:r>
        <w:rPr>
          <w:color w:val="555555"/>
          <w:sz w:val="18"/>
        </w:rPr>
        <w:t xml:space="preserve">Historische Fassung: Stand 10.06.2019 bis 30.11.2025. Dies ist nicht die aktuelle Fassung.</w:t>
      </w:r>
    </w:p>
    <w:p>
      <w:r>
        <w:t xml:space="preserve">Auf Grund des § 4 des Gesetzes zur Errichtung einer Stiftung "Preußischer Kulturbesitz" und zur Übertragung von Vermögenswerten des ehemaligen Landes Preußen auf die Stiftung vom 25. Juli 1957 (Bundesgesetzbl. I S. 841)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PrKultbSaV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https://recht.nulegal.eu/gesetze/PrKultbSaV/eingangsformel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