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PrKultbSaV</w:t>
      </w:r>
    </w:p>
    <w:p>
      <w:r>
        <w:rPr>
          <w:color w:val="555555"/>
          <w:sz w:val="18"/>
        </w:rPr>
        <w:t xml:space="preserve">Verordnung über die Satzung der Stiftung "Preußischer Kulturbesitz"</w:t>
      </w:r>
    </w:p>
    <w:p>
      <w:r>
        <w:rPr>
          <w:color w:val="555555"/>
          <w:sz w:val="18"/>
        </w:rPr>
        <w:t xml:space="preserve">Historische Fassung: Stand 10.06.2019 bis 30.11.2025. Dies ist nicht die aktuelle Fassung.</w:t>
      </w:r>
    </w:p>
    <w:p>
      <w:r>
        <w:t xml:space="preserve">Der Präsident und sein ständiger Vertreter können nicht Mitglieder des Stiftungsrats oder deren Stellvertreter sein.</w:t>
      </w:r>
    </w:p>
    <w:p>
      <w:r>
        <w:rPr>
          <w:color w:val="555555"/>
          <w:sz w:val="17"/>
        </w:rPr>
        <w:t xml:space="preserve">Zitiervorschlag: § 8 PrKultbSaV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https://recht.nulegal.eu/gesetze/PrKultbSaV/8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