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PrKultbSaV</w:t>
      </w:r>
    </w:p>
    <w:p>
      <w:r>
        <w:rPr>
          <w:color w:val="555555"/>
          <w:sz w:val="18"/>
        </w:rPr>
        <w:t xml:space="preserve">Verordnung über die Satzung der Stiftung "Preußischer Kulturbesitz"</w:t>
      </w:r>
    </w:p>
    <w:p>
      <w:r>
        <w:rPr>
          <w:color w:val="555555"/>
          <w:sz w:val="18"/>
        </w:rPr>
        <w:t xml:space="preserve">Historische Fassung: Stand 10.06.2019 bis 30.11.2025. Dies ist nicht die aktuelle Fassung.</w:t>
      </w:r>
    </w:p>
    <w:p>
      <w:r>
        <w:t xml:space="preserve">(1) Der Präsident vertritt die Stiftung gerichtlich und außergerichtlich.</w:t>
      </w:r>
    </w:p>
    <w:p>
      <w:r>
        <w:t xml:space="preserve">(2) Gegenüber dem Präsidenten wird die Stiftung durch den Vorsitzenden des Stiftungsrats vertreten.</w:t>
      </w:r>
    </w:p>
    <w:p>
      <w:r>
        <w:rPr>
          <w:color w:val="555555"/>
          <w:sz w:val="17"/>
        </w:rPr>
        <w:t xml:space="preserve">Zitiervorschlag: § 7 PrKultbSaV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https://recht.nulegal.eu/gesetze/PrKultbSaV/7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