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PrKultbSaV</w:t>
      </w:r>
    </w:p>
    <w:p>
      <w:r>
        <w:rPr>
          <w:color w:val="555555"/>
          <w:sz w:val="18"/>
        </w:rPr>
        <w:t xml:space="preserve">Verordnung über die Satzung der Stiftung "Preußischer Kulturbesitz"</w:t>
      </w:r>
    </w:p>
    <w:p>
      <w:r>
        <w:rPr>
          <w:color w:val="555555"/>
          <w:sz w:val="18"/>
        </w:rPr>
        <w:t xml:space="preserve">Historische Fassung: Stand 10.06.2019 bis 30.11.2025. Dies ist nicht die aktuelle Fassung.</w:t>
      </w:r>
    </w:p>
    <w:p>
      <w:r>
        <w:t xml:space="preserve">(1) Der Präsident hat die Beschlüsse des Stiftungsrats auszuführen und die laufenden Angelegenheiten der Stiftung wahrzunehmen.</w:t>
      </w:r>
    </w:p>
    <w:p>
      <w:r>
        <w:t xml:space="preserve">(2) Zu den laufenden Angelegenheiten der Stiftung gehören insbesondere</w:t>
      </w:r>
    </w:p>
    <w:p>
      <w:pPr>
        <w:ind w:left="420"/>
      </w:pPr>
      <w:r>
        <w:t xml:space="preserve">a) die mit der Verwaltung der Stiftung verbundenen, regelmäßig wiederkehrenden Rechtsgeschäfte,</w:t>
      </w:r>
    </w:p>
    <w:p>
      <w:pPr>
        <w:ind w:left="420"/>
      </w:pPr>
      <w:r>
        <w:t xml:space="preserve">b) die mit der Durchführung und Abwicklung von Dauerverträgen verbundenen Rechtsgeschäfte,</w:t>
      </w:r>
    </w:p>
    <w:p>
      <w:pPr>
        <w:ind w:left="420"/>
      </w:pPr>
      <w:r>
        <w:t xml:space="preserve">c) die Ernennung von Beamten bis einschließlich Besoldungsgruppe A 14 und die Einstellung von Referendaren,</w:t>
      </w:r>
    </w:p>
    <w:p>
      <w:pPr>
        <w:ind w:left="420"/>
      </w:pPr>
      <w:r>
        <w:t xml:space="preserve">d) der Abschluß von Arbeitsverträgen mit Tarifbeschäftigten der Entgeltgruppen 1 bis 14 des Tarifvertrags für den öffentlichen Dienst.</w:t>
      </w:r>
    </w:p>
    <w:p>
      <w:r>
        <w:t xml:space="preserve">(3) Zu den laufenden Angelegenheiten gehören nicht</w:t>
      </w:r>
    </w:p>
    <w:p>
      <w:pPr>
        <w:ind w:left="420"/>
      </w:pPr>
      <w:r>
        <w:t xml:space="preserve">a) alle Geschäfte, die die Stiftung zu einer Ausgabe von mehr als 500.000 DM verpflichten, es sei denn, der Stiftungsrat hat eine besondere Ermächtigung erteilt,</w:t>
      </w:r>
    </w:p>
    <w:p>
      <w:pPr>
        <w:ind w:left="420"/>
      </w:pPr>
      <w:r>
        <w:t xml:space="preserve">b) die Aufnahme von Darlehen, die Übernahme von Bürgschaften und der Abschluß von Gewährverträgen,</w:t>
      </w:r>
    </w:p>
    <w:p>
      <w:pPr>
        <w:ind w:left="420"/>
      </w:pPr>
      <w:r>
        <w:t xml:space="preserve">c) Verträge über Grundstücke und grundstücksgleiche Rechte,</w:t>
      </w:r>
    </w:p>
    <w:p>
      <w:pPr>
        <w:ind w:left="420"/>
      </w:pPr>
      <w:r>
        <w:t xml:space="preserve">d) alle sonstigen Geschäfte, über die der Stiftungsrat sich die Beschlußfassung vorbehält.</w:t>
      </w:r>
    </w:p>
    <w:p>
      <w:r>
        <w:rPr>
          <w:color w:val="555555"/>
          <w:sz w:val="17"/>
        </w:rPr>
        <w:t xml:space="preserve">Zitiervorschlag: § 6 PrKultbSaV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https://recht.nulegal.eu/gesetze/PrKultbSaV/6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