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PrKultbSaV</w:t>
      </w:r>
    </w:p>
    <w:p>
      <w:r>
        <w:rPr>
          <w:color w:val="555555"/>
          <w:sz w:val="18"/>
        </w:rPr>
        <w:t xml:space="preserve">Verordnung über die Satzung der Stiftung "Preußischer Kulturbesitz"</w:t>
      </w:r>
    </w:p>
    <w:p>
      <w:r>
        <w:rPr>
          <w:color w:val="555555"/>
          <w:sz w:val="18"/>
        </w:rPr>
        <w:t xml:space="preserve">Historische Fassung: Stand 10.06.2019 bis 30.11.2025. Dies ist nicht die aktuelle Fassung.</w:t>
      </w:r>
    </w:p>
    <w:p>
      <w:r>
        <w:t xml:space="preserve">Das Geschäftsjahr der Stiftung ist das Kalenderjahr.</w:t>
      </w:r>
    </w:p>
    <w:p>
      <w:r>
        <w:rPr>
          <w:color w:val="555555"/>
          <w:sz w:val="17"/>
        </w:rPr>
        <w:t xml:space="preserve">Zitiervorschlag: § 13 PrKultbSaV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https://recht.nulegal.eu/gesetze/PrKultbSaV/13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