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PrKultbG</w:t>
      </w:r>
    </w:p>
    <w:p>
      <w:r>
        <w:rPr>
          <w:color w:val="555555"/>
          <w:sz w:val="18"/>
        </w:rPr>
        <w:t xml:space="preserve">Gesetz zur Errichtung einer Stiftung "Preußischer Kulturbesitz" und zur Übertragung von Vermögenswerten des ehemaligen Landes Preußen auf die Stiftung</w:t>
      </w:r>
    </w:p>
    <w:p>
      <w:r>
        <w:rPr>
          <w:color w:val="555555"/>
          <w:sz w:val="18"/>
        </w:rPr>
        <w:t xml:space="preserve">Historische Fassung: Stand 10.06.2019 bis 01.12.2025. Dies ist nicht die aktuelle Fassung.</w:t>
      </w:r>
    </w:p>
    <w:p>
      <w:r>
        <w:t xml:space="preserve">Die Stiftung untersteht der Aufsicht des Beauftragten der Bundesregierung für Angelegenheiten der Kultur und der Medien.</w:t>
      </w:r>
    </w:p>
    <w:p>
      <w:r>
        <w:rPr>
          <w:color w:val="555555"/>
          <w:sz w:val="17"/>
        </w:rPr>
        <w:t xml:space="preserve">Zitiervorschlag: § 9 PrKultbG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https://recht.nulegal.eu/gesetze/PrKultbG/9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