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Organe der Stiftung sind</w:t>
      </w:r>
    </w:p>
    <w:p>
      <w:pPr>
        <w:ind w:left="420"/>
      </w:pPr>
      <w:r>
        <w:t xml:space="preserve">1. der Stiftungsrat; ihm obliegt die Leitung der Stiftung;</w:t>
      </w:r>
    </w:p>
    <w:p>
      <w:pPr>
        <w:ind w:left="420"/>
      </w:pPr>
      <w:r>
        <w:t xml:space="preserve">2. der Präsident; er hat die Beschlüsse des Stiftungsrats auszuführen und die laufenden Angelegenheiten der Stiftung wahrzunehmen;</w:t>
      </w:r>
    </w:p>
    <w:p>
      <w:pPr>
        <w:ind w:left="420"/>
      </w:pPr>
      <w:r>
        <w:t xml:space="preserve">3. der Beirat; er hat den Stiftungsrat und den Präsidenten zu beraten.</w:t>
      </w:r>
    </w:p>
    <w:p>
      <w:r>
        <w:rPr>
          <w:color w:val="555555"/>
          <w:sz w:val="17"/>
        </w:rPr>
        <w:t xml:space="preserve">Zitiervorschlag: § 5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