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PrKultbG</w:t>
      </w:r>
    </w:p>
    <w:p>
      <w:r>
        <w:rPr>
          <w:color w:val="555555"/>
          <w:sz w:val="18"/>
        </w:rPr>
        <w:t xml:space="preserve">Gesetz zur Errichtung einer Stiftung "Preußischer Kulturbesitz" und zur Übertragung von Vermögenswerten des ehemaligen Landes Preußen auf die Stiftung</w:t>
      </w:r>
    </w:p>
    <w:p>
      <w:r>
        <w:rPr>
          <w:color w:val="555555"/>
          <w:sz w:val="18"/>
        </w:rPr>
        <w:t xml:space="preserve">Historische Fassung: Stand 10.06.2019 bis 01.12.2025. Dies ist nicht die aktuelle Fassung.</w:t>
      </w:r>
    </w:p>
    <w:p>
      <w:r>
        <w:t xml:space="preserve">Dieses Gesetz tritt am Tage nach seiner Verkündung in Kraft.</w:t>
      </w:r>
    </w:p>
    <w:p>
      <w:r>
        <w:rPr>
          <w:color w:val="555555"/>
          <w:sz w:val="17"/>
        </w:rPr>
        <w:t xml:space="preserve">Zitiervorschlag: § 26 PrKultbG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