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PrKultbG</w:t>
      </w:r>
    </w:p>
    <w:p>
      <w:r>
        <w:rPr>
          <w:color w:val="555555"/>
          <w:sz w:val="18"/>
        </w:rPr>
        <w:t xml:space="preserve">Gesetz zur Errichtung einer Stiftung "Preußischer Kulturbesitz" und zur Übertragung von Vermögenswerten des ehemaligen Landes Preußen auf die Stiftung</w:t>
      </w:r>
    </w:p>
    <w:p>
      <w:r>
        <w:rPr>
          <w:color w:val="555555"/>
          <w:sz w:val="18"/>
        </w:rPr>
        <w:t xml:space="preserve">Historische Fassung: Stand 10.06.2019 bis 01.12.2025. Dies ist nicht die aktuelle Fassung.</w:t>
      </w:r>
    </w:p>
    <w:p>
      <w:r>
        <w:t xml:space="preserve">Soweit sich ein anhängiger Rechtsstreit durch dieses Gesetz erledigt, trägt jede Partei ihre außergerichtlichen Kosten und die Hälfte der gerichtlichen Auslagen. Die Gerichtsgebühren werden nicht erhoben.</w:t>
      </w:r>
    </w:p>
    <w:p>
      <w:r>
        <w:rPr>
          <w:color w:val="555555"/>
          <w:sz w:val="17"/>
        </w:rPr>
        <w:t xml:space="preserve">Zitiervorschlag: § 23 PrKultbG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https://recht.nulegal.eu/gesetze/PrKultbG/23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