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PrKultbG</w:t>
      </w:r>
    </w:p>
    <w:p>
      <w:r>
        <w:rPr>
          <w:color w:val="555555"/>
          <w:sz w:val="18"/>
        </w:rPr>
        <w:t xml:space="preserve">Gesetz zur Errichtung einer Stiftung "Preußischer Kulturbesitz" und zur Übertragung von Vermögenswerten des ehemaligen Landes Preußen auf die Stiftung</w:t>
      </w:r>
    </w:p>
    <w:p>
      <w:r>
        <w:rPr>
          <w:color w:val="555555"/>
          <w:sz w:val="18"/>
        </w:rPr>
        <w:t xml:space="preserve">Historische Fassung: Stand 10.06.2019 bis 01.12.2025. Dies ist nicht die aktuelle Fassung.</w:t>
      </w:r>
    </w:p>
    <w:p>
      <w:r>
        <w:t xml:space="preserve">Soweit zwischen den Beteiligten nichts anderes vereinbart wird, gilt für die Auseinandersetzung zwischen der Stiftung und den Ländern folgendes:</w:t>
      </w:r>
    </w:p>
    <w:p>
      <w:pPr>
        <w:ind w:left="420"/>
      </w:pPr>
      <w:r>
        <w:t xml:space="preserve">1. Ein Ersatz für Aufwendungen und Verwendungen, die bis zum Inkrafttreten dieses Gesetzes von den Ländern in bezug auf Eigentum und sonstige Vermögensrechte gemacht worden sind, auf die die Vorschriften des § 2 Abs. 1 dieses Gesetzes Anwendung finden, wird nicht geleistet. Den Ländern verbleiben bis zu diesem Zeitpunkt erzielte Nutzungen.</w:t>
      </w:r>
    </w:p>
    <w:p>
      <w:pPr>
        <w:ind w:left="420"/>
      </w:pPr>
      <w:r>
        <w:t xml:space="preserve">2. Aufwendungen und Verwendungen, die nach dem Inkrafttreten dieses Gesetzes in bezug auf Eigentum und sonstige Vermögensrechte gemacht worden sind, auf die die Vorschriften des § 2 Abs. 1 dieses Gesetzes Anwendung finden, sind von der Stiftung nach Maßgabe der Vorschriften des bürgerlichen Rechts zu erstatten. Nach diesem Zeitpunkt erzielte Nutzungen sind an die Stiftung abzuführen.</w:t>
      </w:r>
    </w:p>
    <w:p>
      <w:pPr>
        <w:ind w:left="420"/>
      </w:pPr>
      <w:r>
        <w:t xml:space="preserve">3. Unbeschadet der Vorschrift der Nummer 1 Satz 2 sind an die Stiftung ferner abzuführen alle sonstigen Vorteile, die ein Land auf Grund eines Vermögenswertes, auf den die Vorschriften des § 2 Abs. 1 dieses Gesetzes Anwendung finden, oder als Ersatz für die Zerstörung, Beschädigung oder Entziehung eines solchen Vermögenswertes oder durch ein Rechtsgeschäft erworben hat, das sich auf einen solchen Vermögenswert bezieht.</w:t>
      </w:r>
    </w:p>
    <w:p>
      <w:r>
        <w:rPr>
          <w:color w:val="555555"/>
          <w:sz w:val="17"/>
        </w:rPr>
        <w:t xml:space="preserve">Zitiervorschlag: § 20 PrKultbG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https://recht.nulegal.eu/gesetze/PrKultbG/20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