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(1) Eigentum und sonstige Vermögensrechte des ehemaligen Landes Preußen, die sich auf Gegenstände erstrecken, welche bis zum 9. Mai 1945 im Amtsbereich des Reichs- und Preußischen Ministers für Wissenschaft, Erziehung und Volksbildung oder im Amtsbereich des Preußischen Ministerpräsidenten verwaltet wurden, gehen mit dem Inkrafttreten dieses Gesetzes auf die Stiftung über, soweit es sich handelt</w:t>
      </w:r>
    </w:p>
    <w:p>
      <w:pPr>
        <w:ind w:left="420"/>
      </w:pPr>
      <w:r>
        <w:t xml:space="preserve">1. um Kulturgüter; hierzu gehören insbesondere Archiv-, Bibliotheks-, Museumsbestände und sonstige Kunstsammlungen oder wissenschaftliche Sammlungen einschließlich Inventar;</w:t>
      </w:r>
    </w:p>
    <w:p>
      <w:pPr>
        <w:ind w:left="420"/>
      </w:pPr>
      <w:r>
        <w:t xml:space="preserve">2. um Grundstücke, die überwiegend zur Unterbringung dieser Kulturgüter bestimmt waren oder dienten.</w:t>
      </w:r>
    </w:p>
    <w:p>
      <w:r>
        <w:t xml:space="preserve">(2) Die Vorschriften des Absatzes 1 finden keine Anwendung</w:t>
      </w:r>
    </w:p>
    <w:p>
      <w:pPr>
        <w:ind w:left="420"/>
      </w:pPr>
      <w:r>
        <w:t xml:space="preserve">1. auf die Bestände der Bibliotheken und sonstigen Sammlungen der Hochschulen und staatlichen Lehranstalten sowie auf die dazugehörigen Grundstücke;</w:t>
      </w:r>
    </w:p>
    <w:p>
      <w:pPr>
        <w:ind w:left="420"/>
      </w:pPr>
      <w:r>
        <w:t xml:space="preserve">2. auf die Grundstücke, die der Verwaltung der preußischen staatlichen Schlösser und Gärten unterstanden;</w:t>
      </w:r>
    </w:p>
    <w:p>
      <w:pPr>
        <w:ind w:left="420"/>
      </w:pPr>
      <w:r>
        <w:t xml:space="preserve">3. auf das zu den unter Nummer 2 fallenden Grundstücken gehörige Inventar, soweit es nicht im einzelnen Bestandteil einer selbständigen Sammlung war oder ist;</w:t>
      </w:r>
    </w:p>
    <w:p>
      <w:pPr>
        <w:ind w:left="420"/>
      </w:pPr>
      <w:r>
        <w:t xml:space="preserve">4. auf Archivbestände, die nur von regionaler Bedeutung für das Land sind, in welchem sie sich befinden;</w:t>
      </w:r>
    </w:p>
    <w:p>
      <w:pPr>
        <w:ind w:left="420"/>
      </w:pPr>
      <w:r>
        <w:t xml:space="preserve">5. auf die Bestände der Staatlichen Kunstsammlungen in Kassel.</w:t>
      </w:r>
    </w:p>
    <w:p>
      <w:r>
        <w:t xml:space="preserve">(3) Die Stiftung ist verpflichtet, auf sie nach Absatz 1 übergegangene Vermögenswerte, die nur von regionaler kultureller Bedeutung für ein bestimmtes Land sind, auf dieses Land zu übertragen.</w:t>
      </w:r>
    </w:p>
    <w:p>
      <w:r>
        <w:rPr>
          <w:color w:val="555555"/>
          <w:sz w:val="17"/>
        </w:rPr>
        <w:t xml:space="preserve">Zitiervorschlag: § 2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