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PrKultbG</w:t>
      </w:r>
    </w:p>
    <w:p>
      <w:r>
        <w:rPr>
          <w:color w:val="555555"/>
          <w:sz w:val="18"/>
        </w:rPr>
        <w:t xml:space="preserve">Gesetz zur Errichtung einer Stiftung "Preußischer Kulturbesitz" und zur Übertragung von Vermögenswerten des ehemaligen Landes Preußen auf die Stiftung</w:t>
      </w:r>
    </w:p>
    <w:p>
      <w:r>
        <w:rPr>
          <w:color w:val="555555"/>
          <w:sz w:val="18"/>
        </w:rPr>
        <w:t xml:space="preserve">Historische Fassung: Stand 10.06.2019 bis 01.12.2025. Dies ist nicht die aktuelle Fassung.</w:t>
      </w:r>
    </w:p>
    <w:p>
      <w:r>
        <w:t xml:space="preserve">Unter die Vorschriften des § 2 Abs. 1 dieses Gesetzes fallen auch Eigentum und sonstige Vermögensrechte, die durch Gesetz für unübertragbar oder nur auf Grund besonderer Vereinbarung für übertragbar erklärt worden sind.</w:t>
      </w:r>
    </w:p>
    <w:p>
      <w:r>
        <w:rPr>
          <w:color w:val="555555"/>
          <w:sz w:val="17"/>
        </w:rPr>
        <w:t xml:space="preserve">Zitiervorschlag: § 17 PrKultbG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https://recht.nulegal.eu/gesetze/PrKultbG/17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