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PrKultbG</w:t>
      </w:r>
    </w:p>
    <w:p>
      <w:r>
        <w:rPr>
          <w:color w:val="555555"/>
          <w:sz w:val="18"/>
        </w:rPr>
        <w:t xml:space="preserve">Gesetz zur Errichtung einer Stiftung "Preußischer Kulturbesitz" und zur Übertragung von Vermögenswerten des ehemaligen Landes Preußen auf die Stiftung</w:t>
      </w:r>
    </w:p>
    <w:p>
      <w:r>
        <w:rPr>
          <w:color w:val="555555"/>
          <w:sz w:val="18"/>
        </w:rPr>
        <w:t xml:space="preserve">Historische Fassung: Stand 10.06.2019 bis 01.12.2025. Dies ist nicht die aktuelle Fassung.</w:t>
      </w:r>
    </w:p>
    <w:p>
      <w:r>
        <w:t xml:space="preserve">Die Vorschriften des § 2 Abs. 1 dieses Gesetzes gelten nicht für Eigentum und sonstige Vermögensrechte, die nach dem 30. Januar 1933 einer Gewerkschaft, Genossenschaft, politischen Partei oder sonstigen demokratischen Organisation weggenommen worden sind.</w:t>
      </w:r>
    </w:p>
    <w:p>
      <w:r>
        <w:rPr>
          <w:color w:val="555555"/>
          <w:sz w:val="17"/>
        </w:rPr>
        <w:t xml:space="preserve">Zitiervorschlag: § 16 PrKultbG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https://recht.nulegal.eu/gesetze/PrKultbG/16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