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PrKultbG</w:t>
      </w:r>
    </w:p>
    <w:p>
      <w:r>
        <w:rPr>
          <w:color w:val="555555"/>
          <w:sz w:val="18"/>
        </w:rPr>
        <w:t xml:space="preserve">Gesetz zur Errichtung einer Stiftung "Preußischer Kulturbesitz" und zur Übertragung von Vermögenswerten des ehemaligen Landes Preußen auf die Stiftung</w:t>
      </w:r>
    </w:p>
    <w:p>
      <w:r>
        <w:rPr>
          <w:color w:val="555555"/>
          <w:sz w:val="18"/>
        </w:rPr>
        <w:t xml:space="preserve">Historische Fassung: Stand 10.06.2019 bis 01.12.2025. Dies ist nicht die aktuelle Fassung.</w:t>
      </w:r>
    </w:p>
    <w:p>
      <w:r>
        <w:t xml:space="preserve">Mit Ausnahme des Präsidenten werden die Beamten der Stiftung von der Besoldungsgruppe A 15 an aufwärts vom Vorsitzenden des Stiftungsrates ernannt. Die Beamten der Besoldungsgruppe A 2 bis A 14 werden vom Präsidenten ernannt.</w:t>
      </w:r>
    </w:p>
    <w:p>
      <w:r>
        <w:rPr>
          <w:color w:val="555555"/>
          <w:sz w:val="17"/>
        </w:rPr>
        <w:t xml:space="preserve">Zitiervorschlag: § 14 PrKultbG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