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PrKultbG</w:t>
      </w:r>
    </w:p>
    <w:p>
      <w:r>
        <w:rPr>
          <w:color w:val="555555"/>
          <w:sz w:val="18"/>
        </w:rPr>
        <w:t xml:space="preserve">Gesetz zur Errichtung einer Stiftung "Preußischer Kulturbesitz" und zur Übertragung von Vermögenswerten des ehemaligen Landes Preußen auf die Stiftung</w:t>
      </w:r>
    </w:p>
    <w:p>
      <w:r>
        <w:rPr>
          <w:color w:val="555555"/>
          <w:sz w:val="18"/>
        </w:rPr>
        <w:t xml:space="preserve">Historische Fassung: Stand 10.06.2019 bis 01.12.2025. Dies ist nicht die aktuelle Fassung.</w:t>
      </w:r>
    </w:p>
    <w:p>
      <w:r>
        <w:t xml:space="preserve">(1) Die Stiftung hat rechtzeitig vor Beginn eines jeden Geschäftsjahres einen Haushaltsplan aufzustellen. Der Haushaltsplan bedarf der Genehmigung des Beauftragten der Bundesregierung für Angelegenheiten der Kultur und der Medien. Das Nähere regelt die Satzung.</w:t>
      </w:r>
    </w:p>
    <w:p>
      <w:r>
        <w:t xml:space="preserve">(2) Die Haushalts- und Wirtschaftsführung der Stiftung unterliegt der Prüfung durch den Bundesrechnungshof.</w:t>
      </w:r>
    </w:p>
    <w:p>
      <w:r>
        <w:rPr>
          <w:color w:val="555555"/>
          <w:sz w:val="17"/>
        </w:rPr>
        <w:t xml:space="preserve">Zitiervorschlag: § 10 PrKultbG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https://recht.nulegal.eu/gesetze/PrKultbG/10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