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PrKultbBDOAnO</w:t>
      </w:r>
    </w:p>
    <w:p>
      <w:r>
        <w:rPr>
          <w:color w:val="555555"/>
          <w:sz w:val="18"/>
        </w:rPr>
        <w:t xml:space="preserve">Anordnung zur Durchführung der Bundesdisziplinarordnung für die Stiftung Preußischer Kulturbesitz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35 Abs. 1 Satz 1 Nr. 3 der Bundesdisziplinarordnung in der Fassung der Bekanntmachung vom 20. Juli 1967 (Bundesgesetzbl. I S. 750, 984), zuletzt geändert durch das Fünfte Gesetz zur Änderung beamtenrechtlicher und besoldungsrechtlicher Vorschriften vom 19. Juli 1968 (Bundesgesetzblatt I S. 848), ordne ich an:</w:t>
      </w:r>
    </w:p>
    <w:p>
      <w:r>
        <w:rPr>
          <w:color w:val="555555"/>
          <w:sz w:val="17"/>
        </w:rPr>
        <w:t xml:space="preserve">Zitiervorschlag: Eingangsformel PrKultbBDOAnO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https://recht.nulegal.eu/gesetze/PrKultbBDOAnO/eingangsformel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PrKultbBDOAnO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