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PrKG — Unwirksamkeit der Preisklausel</w:t>
      </w:r>
    </w:p>
    <w:p>
      <w:r>
        <w:rPr>
          <w:color w:val="555555"/>
          <w:sz w:val="18"/>
        </w:rPr>
        <w:t xml:space="preserve">Preisklauselgesetz</w:t>
      </w:r>
    </w:p>
    <w:p>
      <w:r>
        <w:rPr>
          <w:color w:val="555555"/>
          <w:sz w:val="18"/>
        </w:rPr>
        <w:t xml:space="preserve">Stand: 10.06.2019 (konsolidierte Textfassung, kein amtliches Inkrafttretensdatum)</w:t>
      </w:r>
    </w:p>
    <w:p>
      <w:r>
        <w:t xml:space="preserve">Die Unwirksamkeit der Preisklausel tritt zum Zeitpunkt des rechtskräftig festgestellten Verstoßes gegen dieses Gesetz ein, soweit nicht eine frühere Unwirksamkeit vereinbart ist. Die Rechtswirkungen der Preisklausel bleiben bis zum Zeitpunkt der Unwirksamkeit unberührt.</w:t>
      </w:r>
    </w:p>
    <w:p>
      <w:r>
        <w:rPr>
          <w:color w:val="555555"/>
          <w:sz w:val="17"/>
        </w:rPr>
        <w:t xml:space="preserve">Zitiervorschlag: § 8 PrKG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