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PrKG — Erbbaurechtsverträge</w:t>
      </w:r>
    </w:p>
    <w:p>
      <w:r>
        <w:rPr>
          <w:color w:val="555555"/>
          <w:sz w:val="18"/>
        </w:rPr>
        <w:t xml:space="preserve">Preisklauselgesetz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Zulässig sind Preisklauseln in Erbbaurechtsbestellungsverträgen und Erbbauzinsreallasten mit einer Laufzeit von mindestens 30 Jahren. § 9a der Verordnung über das Erbbaurecht, § 46 des Sachenrechtsbereinigungsgesetzes und § 4 des Erholungsnutzungsrechtsgesetzes bleiben unberührt.</w:t>
      </w:r>
    </w:p>
    <w:p>
      <w:r>
        <w:rPr>
          <w:color w:val="555555"/>
          <w:sz w:val="17"/>
        </w:rPr>
        <w:t xml:space="preserve">Zitiervorschlag: § 4 PrKG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