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PrKG — Ausnahmen vom Verbot</w:t>
      </w:r>
    </w:p>
    <w:p>
      <w:r>
        <w:rPr>
          <w:color w:val="555555"/>
          <w:sz w:val="18"/>
        </w:rPr>
        <w:t xml:space="preserve">Preisklauselgesetz</w:t>
      </w:r>
    </w:p>
    <w:p>
      <w:r>
        <w:rPr>
          <w:color w:val="555555"/>
          <w:sz w:val="18"/>
        </w:rPr>
        <w:t xml:space="preserve">Stand: 10.06.2019 (konsolidierte Textfassung, kein amtliches Inkrafttretensdatum)</w:t>
      </w:r>
    </w:p>
    <w:p>
      <w:r>
        <w:t xml:space="preserve">(1) Von dem Verbot nach § 1 Abs. 1 ausgenommen sind die in den §§ 3 bis 7 genannten zulässigen Preisklauseln. Satz 1 gilt im Fall</w:t>
      </w:r>
    </w:p>
    <w:p>
      <w:pPr>
        <w:ind w:left="420"/>
      </w:pPr>
      <w:r>
        <w:t xml:space="preserve">1. der in § 3 genannten Preisklauseln,</w:t>
      </w:r>
    </w:p>
    <w:p>
      <w:pPr>
        <w:ind w:left="420"/>
      </w:pPr>
      <w:r>
        <w:t xml:space="preserve">2. von in Verbraucherkreditverträgen im Sinne der §§ 491 und 506 des Bürgerlichen Gesetzbuches verwendeten Preisklauseln (§ 5)</w:t>
      </w:r>
    </w:p>
    <w:p>
      <w:r>
        <w:t xml:space="preserve">nur, wenn die Preisklausel im Einzelfall hinreichend bestimmt ist und keine Vertragspartei unangemessen benachteiligt.</w:t>
      </w:r>
    </w:p>
    <w:p>
      <w:r>
        <w:t xml:space="preserve">(2) Eine Preisklausel ist nicht hinreichend bestimmt, wenn ein geschuldeter Betrag allgemein von der künftigen Preisentwicklung oder von einem anderen Maßstab abhängen soll, der nicht erkennen lässt, welche Preise oder Werte bestimmend sein sollen.</w:t>
      </w:r>
    </w:p>
    <w:p>
      <w:r>
        <w:t xml:space="preserve">(3) Eine unangemessene Benachteiligung liegt insbesondere vor, wenn</w:t>
      </w:r>
    </w:p>
    <w:p>
      <w:pPr>
        <w:ind w:left="420"/>
      </w:pPr>
      <w:r>
        <w:t xml:space="preserve">1. einseitig ein Preis- oder Wertanstieg eine Erhöhung, nicht aber umgekehrt ein Preis- oder Wertrückgang eine entsprechende Ermäßigung des Zahlungsanspruchs bewirkt,</w:t>
      </w:r>
    </w:p>
    <w:p>
      <w:pPr>
        <w:ind w:left="420"/>
      </w:pPr>
      <w:r>
        <w:t xml:space="preserve">2. nur eine Vertragspartei das Recht hat, eine Anpassung zu verlangen, oder</w:t>
      </w:r>
    </w:p>
    <w:p>
      <w:pPr>
        <w:ind w:left="420"/>
      </w:pPr>
      <w:r>
        <w:t xml:space="preserve">3. der geschuldete Betrag sich gegenüber der Entwicklung der Bezugsgröße unverhältnismäßig ändern kann.</w:t>
      </w:r>
    </w:p>
    <w:p>
      <w:r>
        <w:rPr>
          <w:color w:val="555555"/>
          <w:sz w:val="17"/>
        </w:rPr>
        <w:t xml:space="preserve">Zitiervorschlag: § 2 PrKG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https://recht.nulegal.eu/gesetze/PrKG/2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