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PrHaushStatG</w:t>
      </w:r>
    </w:p>
    <w:p>
      <w:r>
        <w:rPr>
          <w:color w:val="555555"/>
          <w:sz w:val="18"/>
        </w:rPr>
        <w:t xml:space="preserve">Gesetz über die Statistik der Wirtschaftsrechnungen privater Haushalte</w:t>
      </w:r>
    </w:p>
    <w:p>
      <w:r>
        <w:rPr>
          <w:color w:val="555555"/>
          <w:sz w:val="18"/>
        </w:rPr>
        <w:t xml:space="preserve">Stand: 10.06.2019 (konsolidierte Textfassung, kein amtliches Inkrafttretensdatum)</w:t>
      </w:r>
    </w:p>
    <w:p>
      <w:r>
        <w:t xml:space="preserve">Im Geltungsbereich dieses Gesetzes werden bei privaten Haushalten folgende repräsentative Erhebungen über Wirtschaftsrechnungen als Bundesstatistik durchgeführt:</w:t>
      </w:r>
    </w:p>
    <w:p>
      <w:pPr>
        <w:ind w:left="420"/>
      </w:pPr>
      <w:r>
        <w:t xml:space="preserve">1. monatliche Erhebungen bei Haushalten von Arbeitnehmern, Pensions-, Fürsorge- und Rentenempfängern;</w:t>
      </w:r>
    </w:p>
    <w:p>
      <w:pPr>
        <w:ind w:left="420"/>
      </w:pPr>
      <w:r>
        <w:t xml:space="preserve">2. Erhebungen, die sich jeweils auf ein Jahr beziehen, bei Haushalten aller Bevölkerungskreise. Diese Erhebungen sind, beginnend im Jahre 1983, in fünfjährigem Abstand zu wiederholen; die Bundesregierung wird ermächtigt, durch Rechtsverordnung mit Zustimmung des Bundesrates den fünfjährigen Abstand um ein Jahr zu verkürzen oder zu verlängern, falls dies zur Verbesserung des Erkenntniswerts der Statistik oder zur rationellen Gestaltung des Arbeitsablaufs erforderlich ist.</w:t>
      </w:r>
    </w:p>
    <w:p>
      <w:r>
        <w:rPr>
          <w:color w:val="555555"/>
          <w:sz w:val="17"/>
        </w:rPr>
        <w:t xml:space="preserve">Zitiervorschlag: § 1 PrHaushStatG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https://recht.nulegal.eu/gesetze/PrHaushStatG/1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