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PrGebV StMELF (Bayern)</w:t>
      </w:r>
    </w:p>
    <w:p>
      <w:r>
        <w:rPr>
          <w:color w:val="555555"/>
          <w:sz w:val="18"/>
        </w:rPr>
        <w:t xml:space="preserve">Prüfungsgebühren-Verordnung StMELF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25 Abs. 1 Nr. 1 des Kostengesetzes erläßt das Bayerische Staatsministerium für Ernährung, Landwirtschaft und Forsten im Einvernehmen mit dem Bayerischen Staatsministerium der Finanzen folgende Verordnung:</w:t>
      </w:r>
    </w:p>
    <w:p>
      <w:r>
        <w:rPr>
          <w:color w:val="555555"/>
          <w:sz w:val="17"/>
        </w:rPr>
        <w:t xml:space="preserve">Zitiervorschlag: Eingangsformel PrGebV StMELF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https://recht.nulegal.eu/gesetze/PrGebV%20StMELF/eingangsformel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