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PrGebV StMELF (Bayern) — Inkrafttreten</w:t>
      </w:r>
    </w:p>
    <w:p>
      <w:r>
        <w:rPr>
          <w:color w:val="555555"/>
          <w:sz w:val="18"/>
        </w:rPr>
        <w:t xml:space="preserve">Prüfungsgebühren-Verordnung StMELF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Oktober 1977 in Kraft.</w:t>
      </w:r>
    </w:p>
    <w:p>
      <w:r>
        <w:t xml:space="preserve">[Amtl. Anm.:] Betrifft die ursprüngliche Fassung vom 20. August 1977 (GVBl. S. 484)</w:t>
      </w:r>
    </w:p>
    <w:p>
      <w:r>
        <w:rPr>
          <w:color w:val="555555"/>
          <w:sz w:val="17"/>
        </w:rPr>
        <w:t xml:space="preserve">Zitiervorschlag: § 6 PrGebV StMELF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https://recht.nulegal.eu/gesetze/PrGebV%20StMELF/6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