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PrGebV StMELF (Bayern) — Auslagen</w:t>
      </w:r>
    </w:p>
    <w:p>
      <w:r>
        <w:rPr>
          <w:color w:val="555555"/>
          <w:sz w:val="18"/>
        </w:rPr>
        <w:t xml:space="preserve">Prüfungsgebühren-Verordnung StMELF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Neben den Gebühren werden keine Auslagen erhoben.</w:t>
      </w:r>
    </w:p>
    <w:p>
      <w:r>
        <w:t xml:space="preserve">(2) Für die auf besonderen Antrag erteilten Abschriften und Mehrfertigungen von Bescheinigungen, Prüfungszeugnissen und Meisterbriefen werden Auslagen nach Art. 10 des Kostengesetzes erhoben.</w:t>
      </w:r>
    </w:p>
    <w:p>
      <w:r>
        <w:rPr>
          <w:color w:val="555555"/>
          <w:sz w:val="17"/>
        </w:rPr>
        <w:t xml:space="preserve">Zitiervorschlag: § 3 PrGebV StMELF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https://recht.nulegal.eu/gesetze/PrGebV%20StMELF/3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