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PrG (Brandenburg)</w:t>
      </w:r>
    </w:p>
    <w:p>
      <w:r>
        <w:rPr>
          <w:color w:val="555555"/>
          <w:sz w:val="18"/>
        </w:rPr>
        <w:t xml:space="preserve">Prignitz-Gesetz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Prignitz sollen der Stadt Pritzwalk, die infolge der Kreisgebietsreform die Eigenschaft als Kreissitz verliert, einen angemessenen Ausgleich verschaffen.</w:t>
      </w:r>
    </w:p>
    <w:p>
      <w:r>
        <w:t xml:space="preserve">(2) Die Stadt Pritzwalk erhält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erhält die Stadt Pritzwalk eine zusätzliche Investitionspauschale in Höhe von 1 188 180 DM jährlich.</w:t>
      </w:r>
    </w:p>
    <w:p>
      <w:r>
        <w:rPr>
          <w:color w:val="555555"/>
          <w:sz w:val="17"/>
        </w:rPr>
        <w:t xml:space="preserve">Zitiervorschlag: § 3 PrG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