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PrümVtrAG — Bundesbeauftragter für den Datenschutz und die Informationsfreiheit</w:t>
      </w:r>
    </w:p>
    <w:p>
      <w:r>
        <w:rPr>
          <w:color w:val="555555"/>
          <w:sz w:val="18"/>
        </w:rPr>
        <w:t xml:space="preserve">Ausführungsgesetz zum Prümer Vertrag und zum Ratsbeschluss Prüm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Bundesbeauftragte für den Datenschutz und die Informationsfreiheit nimmt die Aufgaben der für die Datenschutzkontrolle zuständigen unabhängigen Stelle nach Artikel 39 Abs. 5 des Prümer Vertrags oder Artikel 30 Abs. 5 des Ratsbeschlusses Prüm wahr. Die Zuständigkeiten für die Datenschutzkontrolle in den Ländern bleiben unberührt.</w:t>
      </w:r>
    </w:p>
    <w:p>
      <w:r>
        <w:rPr>
          <w:color w:val="555555"/>
          <w:sz w:val="17"/>
        </w:rPr>
        <w:t xml:space="preserve">Zitiervorschlag: § 7 PrümVtrAG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https://recht.nulegal.eu/gesetze/Pr%C3%BCmVtrAG/7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PrümVtrAG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