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PrümVtrAG — Zustimmung zur Zweckänderung</w:t>
      </w:r>
    </w:p>
    <w:p>
      <w:r>
        <w:rPr>
          <w:color w:val="555555"/>
          <w:sz w:val="18"/>
        </w:rPr>
        <w:t xml:space="preserve">Ausführungsgesetz zum Prümer Vertrag und zum Ratsbeschluss Prüm</w:t>
      </w:r>
    </w:p>
    <w:p>
      <w:r>
        <w:rPr>
          <w:color w:val="555555"/>
          <w:sz w:val="18"/>
        </w:rPr>
        <w:t xml:space="preserve">Stand: 10.06.2019 (konsolidierte Textfassung, kein amtliches Inkrafttretensdatum)</w:t>
      </w:r>
    </w:p>
    <w:p>
      <w:r>
        <w:t xml:space="preserve">(1) Soweit der Prümer Vertrag oder der Ratsbeschluss Prüm eine zweckändernde Verwendung der unter den dortigen Voraussetzungen übermittelten personenbezogenen Daten zulassen, entscheidet das Bundeskriminalamt über die Erteilung der Zustimmung nach Artikel 35 Abs. 1 Satz 1 und Artikel 36 Satz 2 des Prümer Vertrags oder Artikel 26 Abs. 1 Satz 2 und Artikel 27 Satz 2 des Ratsbeschlusses Prüm. Dies gilt nicht für Daten, die nach Artikel 7 des Prümer Vertrags oder Artikel 7 des Ratsbeschlusses Prüm übermittelt worden sind.</w:t>
      </w:r>
    </w:p>
    <w:p>
      <w:r>
        <w:t xml:space="preserve">(2) Das Bundeskriminalamt kann die Zustimmung zur Verwendung dieser Daten in entsprechender Anwendung des § 27 Abs. 1 des Bundeskriminalamtgesetzes erteilen. Handelt es sich um Daten, die dem Bundeskriminalamt von einer anderen innerstaatlichen Stelle übermittelt worden sind, entscheidet das Bundeskriminalamt im Einvernehmen mit dieser Stelle.</w:t>
      </w:r>
    </w:p>
    <w:p>
      <w:r>
        <w:rPr>
          <w:color w:val="555555"/>
          <w:sz w:val="17"/>
        </w:rPr>
        <w:t xml:space="preserve">Zitiervorschlag: § 4 PrümVtrAG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https://recht.nulegal.eu/gesetze/Pr%C3%BCmVtrAG/4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PrümVtrAG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