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PrüflabV</w:t>
      </w:r>
    </w:p>
    <w:p>
      <w:r>
        <w:rPr>
          <w:color w:val="555555"/>
          <w:sz w:val="18"/>
        </w:rPr>
        <w:t xml:space="preserve">Gegenprobensachverständigen-Prüflaboratorienverordnung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44 Abs. 1 Nr. 1 Buchstabe b des Lebensmittel- und Bedarfsgegenständegesetzes in der Fassung der Bekanntmachung vom 9. September 1997 (BGBl. I S. 2226) verordnet das Bundesministerium für Gesundheit:</w:t>
      </w:r>
    </w:p>
    <w:p>
      <w:r>
        <w:rPr>
          <w:color w:val="555555"/>
          <w:sz w:val="17"/>
        </w:rPr>
        <w:t xml:space="preserve">Zitiervorschlag: Eingangsformel PrüflabV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https://recht.nulegal.eu/gesetze/Pr%C3%BCflabV/eingangsformel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