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PrüflabV — Inkrafttreten</w:t>
      </w:r>
    </w:p>
    <w:p>
      <w:r>
        <w:rPr>
          <w:color w:val="555555"/>
          <w:sz w:val="18"/>
        </w:rPr>
        <w:t xml:space="preserve">Gegenprobensachverständigen-Prüflaboratorienverordnung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PrüflabV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https://recht.nulegal.eu/gesetze/Pr%C3%BCflabV/3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