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PrüflabV — Akkreditierung von Prüflaboratorien als Voraussetzung für die Zulassung privater Sachverständiger</w:t>
      </w:r>
    </w:p>
    <w:p>
      <w:r>
        <w:rPr>
          <w:color w:val="555555"/>
          <w:sz w:val="18"/>
        </w:rPr>
        <w:t xml:space="preserve">Gegenprobensachverständigen-Prüflaboratorienverordnung</w:t>
      </w:r>
    </w:p>
    <w:p>
      <w:r>
        <w:rPr>
          <w:color w:val="555555"/>
          <w:sz w:val="18"/>
        </w:rPr>
        <w:t xml:space="preserve">Stand: 17.12.2019 (konsolidierte Textfassung, kein amtliches Inkrafttretensdatum)</w:t>
      </w:r>
    </w:p>
    <w:p>
      <w:r>
        <w:t xml:space="preserve">(1) Private Sachverständige zur Untersuchung amtlich zurückgelassener Proben nach § 31 Absatz 3 des Tabakerzeugnisgesetzes dürfen nur zugelassen werden, wenn sie nachweisen können, dass sie</w:t>
      </w:r>
    </w:p>
    <w:p>
      <w:pPr>
        <w:ind w:left="420"/>
      </w:pPr>
      <w:r>
        <w:t xml:space="preserve">1. für Bestimmungen nach § 1 der Tabakerzeugnisverordnung über ein nach § 2 Absatz 1 der Tabakerzeugnisverordnung zugelassenes Prüflaboratorium,</w:t>
      </w:r>
    </w:p>
    <w:p>
      <w:pPr>
        <w:ind w:left="420"/>
      </w:pPr>
      <w:r>
        <w:t xml:space="preserve">2. für sonstige Bestimmungen über ein Prüflaboratorium, das die Anforderungen nach § 2 Absatz 2 Nummer 1 der Tabakerzeugnisverordnung erfüllt,</w:t>
      </w:r>
    </w:p>
    <w:p>
      <w:r>
        <w:t xml:space="preserve">verfügen, das zur sachgerechten Durchführung der Untersuchung derartiger Proben geeignet ist.</w:t>
      </w:r>
    </w:p>
    <w:p>
      <w:r>
        <w:t xml:space="preserve">(2) Für die Akkreditierung der Prüflaboratorien nach Absatz 1 ist die Akkreditierungsstelle im Sinne des § 1 Absatz 1 Satz 1 des Akkreditierungsstellengesetzes zuständig.</w:t>
      </w:r>
    </w:p>
    <w:p>
      <w:r>
        <w:t xml:space="preserve">(3) Die Akkreditierung eines Prüflaboratoriums durch die nationale Akkreditierungsstelle eines anderen Mitgliedstaates oder eines Drittstaates ist anzuerkennen, soweit</w:t>
      </w:r>
    </w:p>
    <w:p>
      <w:pPr>
        <w:ind w:left="420"/>
      </w:pPr>
      <w:r>
        <w:t xml:space="preserve">1. diese nationale Akkreditierungsstelle sich erfolgreich der Beurteilung unter Gleichrangigen nach Artikel 10 der Verordnung (EG) Nr. 765/2008 unterzogen hat und</w:t>
      </w:r>
    </w:p>
    <w:p>
      <w:pPr>
        <w:ind w:left="420"/>
      </w:pPr>
      <w:r>
        <w:t xml:space="preserve">2. die Akkreditierung sich auf die Erfüllung der Anforderungen nach Artikel 37 Absatz 4 Buchstabe e der Verordnung (EU) 2017/625 des Europäischen Parlaments und des Rates vom 15. März 2017 über amtliche Kontrollen und andere amtliche Tätigkeiten zur Gewährleistung der Anwendung des Lebens- und Futtermittelrechts und der Vorschriften über Tiergesundheit und Tierschutz, Pflanzengesundheit und Pflanzenschutzmittel, zur Änderung der Verordnungen (EG) Nr. 999/2001, (EG) Nr. 396/2005, (EG) Nr. 1069/2009, (EG) Nr. 1107/2009, (EU) Nr. 1151/2012, (EU) Nr. 652/2014, (EU) 2016/429 und (EU) 2016/2031 des Europäischen Parlaments und des Rates, der Verordnungen (EG) Nr. 1/2005 und (EG) Nr. 1099/2009 des Rates sowie der Richtlinien 98/58/EG, 1999/74/EG, 2007/43/EG, 2008/119/EG und 2008/120/EG des Rates und zur Aufhebung der Verordnungen (EG) Nr. 854/2004 und (EG) Nr. 882/2004 des Europäischen Parlaments und des Rates, der Richtlinien 89/608/EWG, 89/662/EWG, 90/425/EWG, 91/496/EEG, 96/23/EG, 96/93/EG und 97/78/EG des Rates und des Beschlusses 92/438/EWG des Rates (Verordnung über amtliche Kontrollen) (ABl. L 95 vom 7.4.2017, S. 1; L 137 vom 24.5.2017, S. 40; L 48 vom 21.2.2018, S. 44; L 322 vom 18.12.2018, S. 85) in der jeweils geltenden Fassung bezieht.</w:t>
      </w:r>
    </w:p>
    <w:p>
      <w:r>
        <w:rPr>
          <w:color w:val="555555"/>
          <w:sz w:val="17"/>
        </w:rPr>
        <w:t xml:space="preserve">Zitiervorschlag: § 1 PrüflabV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https://recht.nulegal.eu/gesetze/Pr%C3%BCflabV/1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