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PrüfbV 2015 — (zu § 70) SON01</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(Fundstelle: BGBl. I 2015, 948 - 952)</w:t>
      </w:r>
    </w:p>
    <w:p>
      <w:r>
        <w:t xml:space="preserve">Datenübersicht für Kreditinstitute und Finanzdienstleistungsinstitute der Gruppen I und II</w:t>
      </w:r>
    </w:p>
    <w:p>
      <w:r>
        <w:t xml:space="preserve">Die angegebenen Beträge (kaufmännische Rundung) lauten auf Tsd. Euro (EUR); Prozentangaben sind mit einer Nachkommastelle anzugeben.</w:t>
      </w:r>
    </w:p>
    <w:p>
      <w:r>
        <w:rPr>
          <w:rFonts w:ascii="Courier New" w:hAnsi="Courier New"/>
          <w:sz w:val="17"/>
        </w:rPr>
        <w:t xml:space="preserve">Position        Berichtsjahr (1)    Vorjahr (2)</w:t>
      </w:r>
    </w:p>
    <w:p>
      <w:r>
        <w:rPr>
          <w:rFonts w:ascii="Courier New" w:hAnsi="Courier New"/>
          <w:sz w:val="17"/>
        </w:rPr>
        <w:t xml:space="preserve">(1)    Daten zu den organisatorischen Grundlagen            </w:t>
      </w:r>
    </w:p>
    <w:p>
      <w:r>
        <w:rPr>
          <w:rFonts w:ascii="Courier New" w:hAnsi="Courier New"/>
          <w:sz w:val="17"/>
        </w:rPr>
        <w:t xml:space="preserve">    1.    Anwendung der Vorschriften über das Handelsbuch: ja (= 0) / nein (= 1)    300        </w:t>
      </w:r>
    </w:p>
    <w:p>
      <w:r>
        <w:rPr>
          <w:rFonts w:ascii="Courier New" w:hAnsi="Courier New"/>
          <w:sz w:val="17"/>
        </w:rPr>
        <w:t xml:space="preserve">    2.    Institut ist ein kapitalmarktorientiertes Unternehmen: ja (= 0) / nein (= 1)    428        </w:t>
      </w:r>
    </w:p>
    <w:p>
      <w:r>
        <w:rPr>
          <w:rFonts w:ascii="Courier New" w:hAnsi="Courier New"/>
          <w:sz w:val="17"/>
        </w:rPr>
        <w:t xml:space="preserve">    3.    Personalbestand gemäß § 267 Absatz 5 HGB    001        </w:t>
      </w:r>
    </w:p>
    <w:p>
      <w:r>
        <w:rPr>
          <w:rFonts w:ascii="Courier New" w:hAnsi="Courier New"/>
          <w:sz w:val="17"/>
        </w:rPr>
        <w:t xml:space="preserve">(2)    Daten zur Vermögenslage            </w:t>
      </w:r>
    </w:p>
    <w:p>
      <w:r>
        <w:rPr>
          <w:rFonts w:ascii="Courier New" w:hAnsi="Courier New"/>
          <w:sz w:val="17"/>
        </w:rPr>
        <w:t xml:space="preserve">    1.    Bestand Reserven nach § 340f HGB            </w:t>
      </w:r>
    </w:p>
    <w:p>
      <w:r>
        <w:rPr>
          <w:rFonts w:ascii="Courier New" w:hAnsi="Courier New"/>
          <w:sz w:val="17"/>
        </w:rPr>
        <w:t xml:space="preserve">        a)    nicht als Eigenmittel berücksichtigte stille Reserven nach § 340f HGB    002        </w:t>
      </w:r>
    </w:p>
    <w:p>
      <w:r>
        <w:rPr>
          <w:rFonts w:ascii="Courier New" w:hAnsi="Courier New"/>
          <w:sz w:val="17"/>
        </w:rPr>
        <w:t xml:space="preserve">        b)    aufgrund unterlassener Einzelwertberichtigungen gebundene Reserven nach § 340f HGB    400        </w:t>
      </w:r>
    </w:p>
    <w:p>
      <w:r>
        <w:rPr>
          <w:rFonts w:ascii="Courier New" w:hAnsi="Courier New"/>
          <w:sz w:val="17"/>
        </w:rPr>
        <w:t xml:space="preserve">    2.    Reserven nach § 26a KWG i. d. F. vom 11. Juli 1985    401        </w:t>
      </w:r>
    </w:p>
    <w:p>
      <w:r>
        <w:rPr>
          <w:rFonts w:ascii="Courier New" w:hAnsi="Courier New"/>
          <w:sz w:val="17"/>
        </w:rPr>
        <w:t xml:space="preserve">    3.    Kursreserven bei Schuldverschreibungen und anderen festverzinslichen Wertpapieren            </w:t>
      </w:r>
    </w:p>
    <w:p>
      <w:r>
        <w:rPr>
          <w:rFonts w:ascii="Courier New" w:hAnsi="Courier New"/>
          <w:sz w:val="17"/>
        </w:rPr>
        <w:t xml:space="preserve">        a)    Bruttobetrag der Kursreserven    301        </w:t>
      </w:r>
    </w:p>
    <w:p>
      <w:r>
        <w:rPr>
          <w:rFonts w:ascii="Courier New" w:hAnsi="Courier New"/>
          <w:sz w:val="17"/>
        </w:rPr>
        <w:t xml:space="preserve">        b)    Nettobetrag der Kursreserven[1]    302        </w:t>
      </w:r>
    </w:p>
    <w:p>
      <w:r>
        <w:rPr>
          <w:rFonts w:ascii="Courier New" w:hAnsi="Courier New"/>
          <w:sz w:val="17"/>
        </w:rPr>
        <w:t xml:space="preserve">    4.    Kursreserven bei Aktien und anderen nicht festverzinslichen Wertpapieren sowie Beteiligungen und Anteilen an verbundenen Unternehmen            </w:t>
      </w:r>
    </w:p>
    <w:p>
      <w:r>
        <w:rPr>
          <w:rFonts w:ascii="Courier New" w:hAnsi="Courier New"/>
          <w:sz w:val="17"/>
        </w:rPr>
        <w:t xml:space="preserve">        a)    Bruttobetrag der Kursreserven    303        </w:t>
      </w:r>
    </w:p>
    <w:p>
      <w:r>
        <w:rPr>
          <w:rFonts w:ascii="Courier New" w:hAnsi="Courier New"/>
          <w:sz w:val="17"/>
        </w:rPr>
        <w:t xml:space="preserve">        b)    Nettobetrag der Kursreserven1)    304        </w:t>
      </w:r>
    </w:p>
    <w:p>
      <w:r>
        <w:rPr>
          <w:rFonts w:ascii="Courier New" w:hAnsi="Courier New"/>
          <w:sz w:val="17"/>
        </w:rPr>
        <w:t xml:space="preserve">    5.    Vermiedene Abschreibungen auf Schuldverschreibungen und andere festverzinsliche Wertpapiere durch Übernahme in das Anlagevermögen    305        </w:t>
      </w:r>
    </w:p>
    <w:p>
      <w:r>
        <w:rPr>
          <w:rFonts w:ascii="Courier New" w:hAnsi="Courier New"/>
          <w:sz w:val="17"/>
        </w:rPr>
        <w:t xml:space="preserve">    6.    Vermiedene Abschreibungen auf Aktien und andere nicht festverzinsliche Wertpapiere durch Übernahme in das Anlagevermögen    306        </w:t>
      </w:r>
    </w:p>
    <w:p>
      <w:r>
        <w:rPr>
          <w:rFonts w:ascii="Courier New" w:hAnsi="Courier New"/>
          <w:sz w:val="17"/>
        </w:rPr>
        <w:t xml:space="preserve">    7.    Nicht realisierte Reserven in Grundstücken, grundstücksgleichen Rechten und Gebäuden (soweit sie als Eigenmittel nach Artikel 484 Absatz 5 Verordnung (EU) Nr. 575/2013 (CRR) i. V. m. § 10 Absatz 2b Nummer 6 KWG i. d. F. bis 31.12.2013 berücksichtigt werden)    005        </w:t>
      </w:r>
    </w:p>
    <w:p>
      <w:r>
        <w:rPr>
          <w:rFonts w:ascii="Courier New" w:hAnsi="Courier New"/>
          <w:sz w:val="17"/>
        </w:rPr>
        <w:t xml:space="preserve">    8.    Beteiligungen an einem in Artikel 4 Absatz 1 Nummer 27 Buchstabe c bis h CRR genannten Unternehmen der Finanzbranche    402        </w:t>
      </w:r>
    </w:p>
    <w:p>
      <w:r>
        <w:rPr>
          <w:rFonts w:ascii="Courier New" w:hAnsi="Courier New"/>
          <w:sz w:val="17"/>
        </w:rPr>
        <w:t xml:space="preserve">(3)    Daten zur Liquidität und zur Refinanzierung            </w:t>
      </w:r>
    </w:p>
    <w:p>
      <w:r>
        <w:rPr>
          <w:rFonts w:ascii="Courier New" w:hAnsi="Courier New"/>
          <w:sz w:val="17"/>
        </w:rPr>
        <w:t xml:space="preserve">    1.    Verbindlichkeiten gegenüber Kreditinstituten, die 10 Prozent der „Verbindlichkeiten gegenüber Kreditinstituten“ überschreiten    022        </w:t>
      </w:r>
    </w:p>
    <w:p>
      <w:r>
        <w:rPr>
          <w:rFonts w:ascii="Courier New" w:hAnsi="Courier New"/>
          <w:sz w:val="17"/>
        </w:rPr>
        <w:t xml:space="preserve">                250    Stk.    Stk.</w:t>
      </w:r>
    </w:p>
    <w:p>
      <w:r>
        <w:rPr>
          <w:rFonts w:ascii="Courier New" w:hAnsi="Courier New"/>
          <w:sz w:val="17"/>
        </w:rPr>
        <w:t xml:space="preserve">    2.    Verbindlichkeiten gegenüber Kunden, die 10 Prozent der „Verbindlichkeiten gegenüber Kunden“ überschreiten    023        </w:t>
      </w:r>
    </w:p>
    <w:p>
      <w:r>
        <w:rPr>
          <w:rFonts w:ascii="Courier New" w:hAnsi="Courier New"/>
          <w:sz w:val="17"/>
        </w:rPr>
        <w:t xml:space="preserve">                251    Stk.    Stk.</w:t>
      </w:r>
    </w:p>
    <w:p>
      <w:r>
        <w:rPr>
          <w:rFonts w:ascii="Courier New" w:hAnsi="Courier New"/>
          <w:sz w:val="17"/>
        </w:rPr>
        <w:t xml:space="preserve">    3.    Dem Kreditinstitut zugesagte Refinanzierungsmöglichkeiten ohne diejenigen bei der Deutschen Bundesbank            </w:t>
      </w:r>
    </w:p>
    <w:p>
      <w:r>
        <w:rPr>
          <w:rFonts w:ascii="Courier New" w:hAnsi="Courier New"/>
          <w:sz w:val="17"/>
        </w:rPr>
        <w:t xml:space="preserve">        a)    Zusagen    024        </w:t>
      </w:r>
    </w:p>
    <w:p>
      <w:r>
        <w:rPr>
          <w:rFonts w:ascii="Courier New" w:hAnsi="Courier New"/>
          <w:sz w:val="17"/>
        </w:rPr>
        <w:t xml:space="preserve">        b)    Inanspruchnahme    025        </w:t>
      </w:r>
    </w:p>
    <w:p>
      <w:r>
        <w:rPr>
          <w:rFonts w:ascii="Courier New" w:hAnsi="Courier New"/>
          <w:sz w:val="17"/>
        </w:rPr>
        <w:t xml:space="preserve">(4)    Daten zur Ertragslage            </w:t>
      </w:r>
    </w:p>
    <w:p>
      <w:r>
        <w:rPr>
          <w:rFonts w:ascii="Courier New" w:hAnsi="Courier New"/>
          <w:sz w:val="17"/>
        </w:rPr>
        <w:t xml:space="preserve">    1.    Zinsergebnis            </w:t>
      </w:r>
    </w:p>
    <w:p>
      <w:r>
        <w:rPr>
          <w:rFonts w:ascii="Courier New" w:hAnsi="Courier New"/>
          <w:sz w:val="17"/>
        </w:rPr>
        <w:t xml:space="preserve">        a)    Zinserträge[2]    029        </w:t>
      </w:r>
    </w:p>
    <w:p>
      <w:r>
        <w:rPr>
          <w:rFonts w:ascii="Courier New" w:hAnsi="Courier New"/>
          <w:sz w:val="17"/>
        </w:rPr>
        <w:t xml:space="preserve">        b)    Zinsaufwendungen    030        </w:t>
      </w:r>
    </w:p>
    <w:p>
      <w:r>
        <w:rPr>
          <w:rFonts w:ascii="Courier New" w:hAnsi="Courier New"/>
          <w:sz w:val="17"/>
        </w:rPr>
        <w:t xml:space="preserve">        c)    darunter: für stille Einlagen, für Genussrechte und für nachrangige Verbindlichkeiten    031        </w:t>
      </w:r>
    </w:p>
    <w:p>
      <w:r>
        <w:rPr>
          <w:rFonts w:ascii="Courier New" w:hAnsi="Courier New"/>
          <w:sz w:val="17"/>
        </w:rPr>
        <w:t xml:space="preserve">        d)    Zinsergebnis    032        </w:t>
      </w:r>
    </w:p>
    <w:p>
      <w:r>
        <w:rPr>
          <w:rFonts w:ascii="Courier New" w:hAnsi="Courier New"/>
          <w:sz w:val="17"/>
        </w:rPr>
        <w:t xml:space="preserve">    2.    Vereinnahmte Zinsen aus notleidenden Forderungen    403        </w:t>
      </w:r>
    </w:p>
    <w:p>
      <w:r>
        <w:rPr>
          <w:rFonts w:ascii="Courier New" w:hAnsi="Courier New"/>
          <w:sz w:val="17"/>
        </w:rPr>
        <w:t xml:space="preserve">    3.    Provisionsergebnis[3]            </w:t>
      </w:r>
    </w:p>
    <w:p>
      <w:r>
        <w:rPr>
          <w:rFonts w:ascii="Courier New" w:hAnsi="Courier New"/>
          <w:sz w:val="17"/>
        </w:rPr>
        <w:t xml:space="preserve">        a)    Provisionserträge    313        </w:t>
      </w:r>
    </w:p>
    <w:p>
      <w:r>
        <w:rPr>
          <w:rFonts w:ascii="Courier New" w:hAnsi="Courier New"/>
          <w:sz w:val="17"/>
        </w:rPr>
        <w:t xml:space="preserve">        b)    Provisionsaufwendungen    314        </w:t>
      </w:r>
    </w:p>
    <w:p>
      <w:r>
        <w:rPr>
          <w:rFonts w:ascii="Courier New" w:hAnsi="Courier New"/>
          <w:sz w:val="17"/>
        </w:rPr>
        <w:t xml:space="preserve">        c)    Provisionsergebnis    033        </w:t>
      </w:r>
    </w:p>
    <w:p>
      <w:r>
        <w:rPr>
          <w:rFonts w:ascii="Courier New" w:hAnsi="Courier New"/>
          <w:sz w:val="17"/>
        </w:rPr>
        <w:t xml:space="preserve">nur von Kreditinstituten anzugeben, soweit sie keine Wertpapierhandelsbanken sind:            </w:t>
      </w:r>
    </w:p>
    <w:p>
      <w:r>
        <w:rPr>
          <w:rFonts w:ascii="Courier New" w:hAnsi="Courier New"/>
          <w:sz w:val="17"/>
        </w:rPr>
        <w:t xml:space="preserve">    4.    Nettoergebnis des Handelsbestands nach § 340c Absatz 1 HGB            </w:t>
      </w:r>
    </w:p>
    <w:p>
      <w:r>
        <w:rPr>
          <w:rFonts w:ascii="Courier New" w:hAnsi="Courier New"/>
          <w:sz w:val="17"/>
        </w:rPr>
        <w:t xml:space="preserve">        a)    aus Geschäften mit Wertpapieren des Handelsbestands    034        </w:t>
      </w:r>
    </w:p>
    <w:p>
      <w:r>
        <w:rPr>
          <w:rFonts w:ascii="Courier New" w:hAnsi="Courier New"/>
          <w:sz w:val="17"/>
        </w:rPr>
        <w:t xml:space="preserve">        b)    aus Geschäften mit Devisen und Edelmetallen[4]    035        </w:t>
      </w:r>
    </w:p>
    <w:p>
      <w:r>
        <w:rPr>
          <w:rFonts w:ascii="Courier New" w:hAnsi="Courier New"/>
          <w:sz w:val="17"/>
        </w:rPr>
        <w:t xml:space="preserve">        c)    aus Geschäften mit Derivaten    036        </w:t>
      </w:r>
    </w:p>
    <w:p>
      <w:r>
        <w:rPr>
          <w:rFonts w:ascii="Courier New" w:hAnsi="Courier New"/>
          <w:sz w:val="17"/>
        </w:rPr>
        <w:t xml:space="preserve">nur von Finanzdienstleistungsinstituten und Wertpapierhandelsunternehmen anzugeben:            </w:t>
      </w:r>
    </w:p>
    <w:p>
      <w:r>
        <w:rPr>
          <w:rFonts w:ascii="Courier New" w:hAnsi="Courier New"/>
          <w:sz w:val="17"/>
        </w:rPr>
        <w:t xml:space="preserve">    4.    Aufwendungen und Erträge des Handelsbestands            </w:t>
      </w:r>
    </w:p>
    <w:p>
      <w:r>
        <w:rPr>
          <w:rFonts w:ascii="Courier New" w:hAnsi="Courier New"/>
          <w:sz w:val="17"/>
        </w:rPr>
        <w:t xml:space="preserve">        a)    Aufwendungen aus Geschäften mit Wertpapieren des Handelsbestands    315        </w:t>
      </w:r>
    </w:p>
    <w:p>
      <w:r>
        <w:rPr>
          <w:rFonts w:ascii="Courier New" w:hAnsi="Courier New"/>
          <w:sz w:val="17"/>
        </w:rPr>
        <w:t xml:space="preserve">        b)    Erträge aus Geschäften mit Wertpapieren des Handelsbestands    316        </w:t>
      </w:r>
    </w:p>
    <w:p>
      <w:r>
        <w:rPr>
          <w:rFonts w:ascii="Courier New" w:hAnsi="Courier New"/>
          <w:sz w:val="17"/>
        </w:rPr>
        <w:t xml:space="preserve">        c)    Aufwendungen aus Geschäften mit Devisen und Edelmetallen[4]    317        </w:t>
      </w:r>
    </w:p>
    <w:p>
      <w:r>
        <w:rPr>
          <w:rFonts w:ascii="Courier New" w:hAnsi="Courier New"/>
          <w:sz w:val="17"/>
        </w:rPr>
        <w:t xml:space="preserve">        d)    Erträge aus Geschäften mit Devisen und Edelmetallen[4]    318        </w:t>
      </w:r>
    </w:p>
    <w:p>
      <w:r>
        <w:rPr>
          <w:rFonts w:ascii="Courier New" w:hAnsi="Courier New"/>
          <w:sz w:val="17"/>
        </w:rPr>
        <w:t xml:space="preserve">        e)    Aufwendungen aus Geschäften mit Derivaten    319        </w:t>
      </w:r>
    </w:p>
    <w:p>
      <w:r>
        <w:rPr>
          <w:rFonts w:ascii="Courier New" w:hAnsi="Courier New"/>
          <w:sz w:val="17"/>
        </w:rPr>
        <w:t xml:space="preserve">        f)    Erträge aus Geschäften mit Derivaten    320        </w:t>
      </w:r>
    </w:p>
    <w:p>
      <w:r>
        <w:rPr>
          <w:rFonts w:ascii="Courier New" w:hAnsi="Courier New"/>
          <w:sz w:val="17"/>
        </w:rPr>
        <w:t xml:space="preserve">    5.    Ergebnis aus dem sonstigen nicht zinsabhängigen Geschäft[5]    037        </w:t>
      </w:r>
    </w:p>
    <w:p>
      <w:r>
        <w:rPr>
          <w:rFonts w:ascii="Courier New" w:hAnsi="Courier New"/>
          <w:sz w:val="17"/>
        </w:rPr>
        <w:t xml:space="preserve">    6.    Allgemeiner Verwaltungsaufwand            </w:t>
      </w:r>
    </w:p>
    <w:p>
      <w:r>
        <w:rPr>
          <w:rFonts w:ascii="Courier New" w:hAnsi="Courier New"/>
          <w:sz w:val="17"/>
        </w:rPr>
        <w:t xml:space="preserve">        a)    Personalaufwand[6]    038        </w:t>
      </w:r>
    </w:p>
    <w:p>
      <w:r>
        <w:rPr>
          <w:rFonts w:ascii="Courier New" w:hAnsi="Courier New"/>
          <w:sz w:val="17"/>
        </w:rPr>
        <w:t xml:space="preserve">        b)    andere Verwaltungsaufwendungen[7]    039        </w:t>
      </w:r>
    </w:p>
    <w:p>
      <w:r>
        <w:rPr>
          <w:rFonts w:ascii="Courier New" w:hAnsi="Courier New"/>
          <w:sz w:val="17"/>
        </w:rPr>
        <w:t xml:space="preserve">    7.    Sonstige und außerordentliche Erträge und Aufwendungen            </w:t>
      </w:r>
    </w:p>
    <w:p>
      <w:r>
        <w:rPr>
          <w:rFonts w:ascii="Courier New" w:hAnsi="Courier New"/>
          <w:sz w:val="17"/>
        </w:rPr>
        <w:t xml:space="preserve">        a)    Erträge aus früheren Abschreibungen, Wertberichtigungen und Rückstellungen im Kreditgeschäft    040        </w:t>
      </w:r>
    </w:p>
    <w:p>
      <w:r>
        <w:rPr>
          <w:rFonts w:ascii="Courier New" w:hAnsi="Courier New"/>
          <w:sz w:val="17"/>
        </w:rPr>
        <w:t xml:space="preserve">        b)    Abschreibungen und Wertberichtigungen auf Forderungen sowie Zuführungen zu Rückstellungen im Kreditgeschäft    041        </w:t>
      </w:r>
    </w:p>
    <w:p>
      <w:r>
        <w:rPr>
          <w:rFonts w:ascii="Courier New" w:hAnsi="Courier New"/>
          <w:sz w:val="17"/>
        </w:rPr>
        <w:t xml:space="preserve">        c)    Erträge aus Zuschreibungen bei Wertpapieren der Liquiditätsreserve und aus Geschäften mit diesen Wertpapieren    042        </w:t>
      </w:r>
    </w:p>
    <w:p>
      <w:r>
        <w:rPr>
          <w:rFonts w:ascii="Courier New" w:hAnsi="Courier New"/>
          <w:sz w:val="17"/>
        </w:rPr>
        <w:t xml:space="preserve">        d)    Abschreibungen auf Wertpapiere der Liquiditätsreserve und Aufwendungen aus Geschäften mit diesen Wertpapieren    043        </w:t>
      </w:r>
    </w:p>
    <w:p>
      <w:r>
        <w:rPr>
          <w:rFonts w:ascii="Courier New" w:hAnsi="Courier New"/>
          <w:sz w:val="17"/>
        </w:rPr>
        <w:t xml:space="preserve">        e)    Erträge aus Zuschreibungen bei Finanzanlagen, Sachanlagen und immateriellen Anlagewerten sowie aus Geschäften mit diesen Gegenständen    044        </w:t>
      </w:r>
    </w:p>
    <w:p>
      <w:r>
        <w:rPr>
          <w:rFonts w:ascii="Courier New" w:hAnsi="Courier New"/>
          <w:sz w:val="17"/>
        </w:rPr>
        <w:t xml:space="preserve">        f)    andere sonstige und außerordentliche Erträge[8]    045        </w:t>
      </w:r>
    </w:p>
    <w:p>
      <w:r>
        <w:rPr>
          <w:rFonts w:ascii="Courier New" w:hAnsi="Courier New"/>
          <w:sz w:val="17"/>
        </w:rPr>
        <w:t xml:space="preserve">        g)    Abschreibungen und Wertberichtigungen auf Finanzanlagen, Sachanlagen und immaterielle Anlagewerte sowie Aufwendungen aus Geschäften mit diesen Gegenständen    046        </w:t>
      </w:r>
    </w:p>
    <w:p>
      <w:r>
        <w:rPr>
          <w:rFonts w:ascii="Courier New" w:hAnsi="Courier New"/>
          <w:sz w:val="17"/>
        </w:rPr>
        <w:t xml:space="preserve">        h)    andere sonstige und außerordentliche Aufwendungen[9]    047        </w:t>
      </w:r>
    </w:p>
    <w:p>
      <w:r>
        <w:rPr>
          <w:rFonts w:ascii="Courier New" w:hAnsi="Courier New"/>
          <w:sz w:val="17"/>
        </w:rPr>
        <w:t xml:space="preserve">    8.    Steuern vom Einkommen und vom Ertrag    048        </w:t>
      </w:r>
    </w:p>
    <w:p>
      <w:r>
        <w:rPr>
          <w:rFonts w:ascii="Courier New" w:hAnsi="Courier New"/>
          <w:sz w:val="17"/>
        </w:rPr>
        <w:t xml:space="preserve">    9.    Erträge aus Verlustübernahmen und baren bilanzunwirksamen Ansprüchen    049        </w:t>
      </w:r>
    </w:p>
    <w:p>
      <w:r>
        <w:rPr>
          <w:rFonts w:ascii="Courier New" w:hAnsi="Courier New"/>
          <w:sz w:val="17"/>
        </w:rPr>
        <w:t xml:space="preserve">    10.    Aufwendungen aus der Bildung von Vorsorgereserven nach § 340f und § 340g HGB    050        </w:t>
      </w:r>
    </w:p>
    <w:p>
      <w:r>
        <w:rPr>
          <w:rFonts w:ascii="Courier New" w:hAnsi="Courier New"/>
          <w:sz w:val="17"/>
        </w:rPr>
        <w:t xml:space="preserve">    11.    Erträge aus der Auflösung von Vorsorgereserven nach § 340f und § 340g HGB    051        </w:t>
      </w:r>
    </w:p>
    <w:p>
      <w:r>
        <w:rPr>
          <w:rFonts w:ascii="Courier New" w:hAnsi="Courier New"/>
          <w:sz w:val="17"/>
        </w:rPr>
        <w:t xml:space="preserve">    12.    Aufgrund einer Gewinngemeinschaft, eines Gewinnabführungs- oder eines Teilgewinnabführungsvertrages abgeführte Gewinne    052        </w:t>
      </w:r>
    </w:p>
    <w:p>
      <w:r>
        <w:rPr>
          <w:rFonts w:ascii="Courier New" w:hAnsi="Courier New"/>
          <w:sz w:val="17"/>
        </w:rPr>
        <w:t xml:space="preserve">    13.    Gewinnvortrag aus dem Vorjahr    053        </w:t>
      </w:r>
    </w:p>
    <w:p>
      <w:r>
        <w:rPr>
          <w:rFonts w:ascii="Courier New" w:hAnsi="Courier New"/>
          <w:sz w:val="17"/>
        </w:rPr>
        <w:t xml:space="preserve">    14.    Verlustvortrag aus dem Vorjahr    054        </w:t>
      </w:r>
    </w:p>
    <w:p>
      <w:r>
        <w:rPr>
          <w:rFonts w:ascii="Courier New" w:hAnsi="Courier New"/>
          <w:sz w:val="17"/>
        </w:rPr>
        <w:t xml:space="preserve">    15.    Entnahmen aus Kapital- und Gewinnrücklagen    055        </w:t>
      </w:r>
    </w:p>
    <w:p>
      <w:r>
        <w:rPr>
          <w:rFonts w:ascii="Courier New" w:hAnsi="Courier New"/>
          <w:sz w:val="17"/>
        </w:rPr>
        <w:t xml:space="preserve">    16.    Einstellungen in Kapital- und Gewinnrücklagen    056        </w:t>
      </w:r>
    </w:p>
    <w:p>
      <w:r>
        <w:rPr>
          <w:rFonts w:ascii="Courier New" w:hAnsi="Courier New"/>
          <w:sz w:val="17"/>
        </w:rPr>
        <w:t xml:space="preserve">    17.    Entnahmen aus Genussrechtskapital    057        </w:t>
      </w:r>
    </w:p>
    <w:p>
      <w:r>
        <w:rPr>
          <w:rFonts w:ascii="Courier New" w:hAnsi="Courier New"/>
          <w:sz w:val="17"/>
        </w:rPr>
        <w:t xml:space="preserve">    18.    Wiederauffüllung des Genussrechtskapitals    058        </w:t>
      </w:r>
    </w:p>
    <w:p>
      <w:r>
        <w:rPr>
          <w:rFonts w:ascii="Courier New" w:hAnsi="Courier New"/>
          <w:sz w:val="17"/>
        </w:rPr>
        <w:t xml:space="preserve">(5)    Daten zum Kreditgeschäft[10]            </w:t>
      </w:r>
    </w:p>
    <w:p>
      <w:r>
        <w:rPr>
          <w:rFonts w:ascii="Courier New" w:hAnsi="Courier New"/>
          <w:sz w:val="17"/>
        </w:rPr>
        <w:t xml:space="preserve">    1.    Höhe des Kreditvolumens    073        </w:t>
      </w:r>
    </w:p>
    <w:p>
      <w:r>
        <w:rPr>
          <w:rFonts w:ascii="Courier New" w:hAnsi="Courier New"/>
          <w:sz w:val="17"/>
        </w:rPr>
        <w:t xml:space="preserve">    2.    Darunter: Kredite an Nichtbanken    074        </w:t>
      </w:r>
    </w:p>
    <w:p>
      <w:r>
        <w:rPr>
          <w:rFonts w:ascii="Courier New" w:hAnsi="Courier New"/>
          <w:sz w:val="17"/>
        </w:rPr>
        <w:t xml:space="preserve">    3.    Angaben zu den in interne Risikoklassifizierungsverfahren aufgrund interner und externer Ratings eingeordneten Krediten            </w:t>
      </w:r>
    </w:p>
    <w:p>
      <w:r>
        <w:rPr>
          <w:rFonts w:ascii="Courier New" w:hAnsi="Courier New"/>
          <w:sz w:val="17"/>
        </w:rPr>
        <w:t xml:space="preserve">        a)    in interne Risikoklassifizierungsverfahren einbezogenes Kreditvolumen    407        </w:t>
      </w:r>
    </w:p>
    <w:p>
      <w:r>
        <w:rPr>
          <w:rFonts w:ascii="Courier New" w:hAnsi="Courier New"/>
          <w:sz w:val="17"/>
        </w:rPr>
        <w:t xml:space="preserve">        b)    Kredite mit erhöhter Ausfallwahrscheinlichkeit (Gelbbereich)[11]    408        </w:t>
      </w:r>
    </w:p>
    <w:p>
      <w:r>
        <w:rPr>
          <w:rFonts w:ascii="Courier New" w:hAnsi="Courier New"/>
          <w:sz w:val="17"/>
        </w:rPr>
        <w:t xml:space="preserve">            ba) bestehende Sicherheiten für Kredite mit erhöhter Ausfallwahrscheinlichkeit    425        </w:t>
      </w:r>
    </w:p>
    <w:p>
      <w:r>
        <w:rPr>
          <w:rFonts w:ascii="Courier New" w:hAnsi="Courier New"/>
          <w:sz w:val="17"/>
        </w:rPr>
        <w:t xml:space="preserve">        c)    &gt; 90 Tage in Verzug geratene Kredite (ohne Einzelwertberichtigung – EWB)    409        </w:t>
      </w:r>
    </w:p>
    <w:p>
      <w:r>
        <w:rPr>
          <w:rFonts w:ascii="Courier New" w:hAnsi="Courier New"/>
          <w:sz w:val="17"/>
        </w:rPr>
        <w:t xml:space="preserve">            ca) bestehende Sicherheiten für in Verzug geratene Kredite[12]    410        </w:t>
      </w:r>
    </w:p>
    <w:p>
      <w:r>
        <w:rPr>
          <w:rFonts w:ascii="Courier New" w:hAnsi="Courier New"/>
          <w:sz w:val="17"/>
        </w:rPr>
        <w:t xml:space="preserve">        d)    Übrige, einer Ausfallkategorie zugeordnete Kredite vor Absetzung von EWB[13]    411        </w:t>
      </w:r>
    </w:p>
    <w:p>
      <w:r>
        <w:rPr>
          <w:rFonts w:ascii="Courier New" w:hAnsi="Courier New"/>
          <w:sz w:val="17"/>
        </w:rPr>
        <w:t xml:space="preserve">            da) Höhe der individuellen Einzelwertberichtigungen[14]    412        </w:t>
      </w:r>
    </w:p>
    <w:p>
      <w:r>
        <w:rPr>
          <w:rFonts w:ascii="Courier New" w:hAnsi="Courier New"/>
          <w:sz w:val="17"/>
        </w:rPr>
        <w:t xml:space="preserve">            db) bestehende Sicherheiten für die übrigen, einer Ausfallkategorie zugeordneten Kredite[13]    413        </w:t>
      </w:r>
    </w:p>
    <w:p>
      <w:r>
        <w:rPr>
          <w:rFonts w:ascii="Courier New" w:hAnsi="Courier New"/>
          <w:sz w:val="17"/>
        </w:rPr>
        <w:t xml:space="preserve">        e)    Höhe der pauschalierten Einzelwertberichtigungen    414        </w:t>
      </w:r>
    </w:p>
    <w:p>
      <w:r>
        <w:rPr>
          <w:rFonts w:ascii="Courier New" w:hAnsi="Courier New"/>
          <w:sz w:val="17"/>
        </w:rPr>
        <w:t xml:space="preserve">    4.    Angaben zu den nicht in interne Risikoklassifizierungsverfahren eingeordneten Krediten            </w:t>
      </w:r>
    </w:p>
    <w:p>
      <w:r>
        <w:rPr>
          <w:rFonts w:ascii="Courier New" w:hAnsi="Courier New"/>
          <w:sz w:val="17"/>
        </w:rPr>
        <w:t xml:space="preserve">        a)    &gt; 90 Tage in Verzug geratene Kredite (ohne Kredite, für die eine Einzelwertberichtigung – EWB gebildet wurde)    415        </w:t>
      </w:r>
    </w:p>
    <w:p>
      <w:r>
        <w:rPr>
          <w:rFonts w:ascii="Courier New" w:hAnsi="Courier New"/>
          <w:sz w:val="17"/>
        </w:rPr>
        <w:t xml:space="preserve">        b)    bestehende Sicherheiten für in Verzug geratene Kredite    416        </w:t>
      </w:r>
    </w:p>
    <w:p>
      <w:r>
        <w:rPr>
          <w:rFonts w:ascii="Courier New" w:hAnsi="Courier New"/>
          <w:sz w:val="17"/>
        </w:rPr>
        <w:t xml:space="preserve">        c)    einzelwertberichtigte, nicht in interne Risikoklassifizierungsverfahren einbezogene Kredite vor Absetzung von EWB[15]    417        </w:t>
      </w:r>
    </w:p>
    <w:p>
      <w:r>
        <w:rPr>
          <w:rFonts w:ascii="Courier New" w:hAnsi="Courier New"/>
          <w:sz w:val="17"/>
        </w:rPr>
        <w:t xml:space="preserve">        d)    Einzelwertberichtigungen für individuell wertberichtigte, nicht in interne Risikoklassifizierungsverfahren einbezogene Kredite[14]    418        </w:t>
      </w:r>
    </w:p>
    <w:p>
      <w:r>
        <w:rPr>
          <w:rFonts w:ascii="Courier New" w:hAnsi="Courier New"/>
          <w:sz w:val="17"/>
        </w:rPr>
        <w:t xml:space="preserve">        e)    bestehende Sicherheiten für die wertberichtigten, nicht in interne Risikoklassifizierungsverfahren einbezogenen Kredite[13]    419        </w:t>
      </w:r>
    </w:p>
    <w:p>
      <w:r>
        <w:rPr>
          <w:rFonts w:ascii="Courier New" w:hAnsi="Courier New"/>
          <w:sz w:val="17"/>
        </w:rPr>
        <w:t xml:space="preserve">        f)    Höhe der pauschalierten Einzelwertberichtigungen    420        </w:t>
      </w:r>
    </w:p>
    <w:p>
      <w:r>
        <w:rPr>
          <w:rFonts w:ascii="Courier New" w:hAnsi="Courier New"/>
          <w:sz w:val="17"/>
        </w:rPr>
        <w:t xml:space="preserve">    5.    Geprüftes Bruttokreditvolumen10)    421        </w:t>
      </w:r>
    </w:p>
    <w:p>
      <w:r>
        <w:rPr>
          <w:rFonts w:ascii="Courier New" w:hAnsi="Courier New"/>
          <w:sz w:val="17"/>
        </w:rPr>
        <w:t xml:space="preserve">    6.    Darunter: Kredite an Nichtbanken    422        </w:t>
      </w:r>
    </w:p>
    <w:p>
      <w:r>
        <w:rPr>
          <w:rFonts w:ascii="Courier New" w:hAnsi="Courier New"/>
          <w:sz w:val="17"/>
        </w:rPr>
        <w:t xml:space="preserve">    7.    Bruttovolumen der Kredite an solche Branchen, die einen Anteil von &gt; 10 % am Bruttokundenkreditvolumen ausmachen    423        </w:t>
      </w:r>
    </w:p>
    <w:p>
      <w:r>
        <w:rPr>
          <w:rFonts w:ascii="Courier New" w:hAnsi="Courier New"/>
          <w:sz w:val="17"/>
        </w:rPr>
        <w:t xml:space="preserve">    8.    Unversteuerte Pauschalwertberichtigungen[16]    080        </w:t>
      </w:r>
    </w:p>
    <w:p>
      <w:r>
        <w:rPr>
          <w:rFonts w:ascii="Courier New" w:hAnsi="Courier New"/>
          <w:sz w:val="17"/>
        </w:rPr>
        <w:t xml:space="preserve">    9.    Einzelwertberichtigungen            </w:t>
      </w:r>
    </w:p>
    <w:p>
      <w:r>
        <w:rPr>
          <w:rFonts w:ascii="Courier New" w:hAnsi="Courier New"/>
          <w:sz w:val="17"/>
        </w:rPr>
        <w:t xml:space="preserve">        a)    Bestand in der Vorjahresbilanz    332        </w:t>
      </w:r>
    </w:p>
    <w:p>
      <w:r>
        <w:rPr>
          <w:rFonts w:ascii="Courier New" w:hAnsi="Courier New"/>
          <w:sz w:val="17"/>
        </w:rPr>
        <w:t xml:space="preserve">        b)    Verbrauch    333        </w:t>
      </w:r>
    </w:p>
    <w:p>
      <w:r>
        <w:rPr>
          <w:rFonts w:ascii="Courier New" w:hAnsi="Courier New"/>
          <w:sz w:val="17"/>
        </w:rPr>
        <w:t xml:space="preserve">        c)    Auflösung    334        </w:t>
      </w:r>
    </w:p>
    <w:p>
      <w:r>
        <w:rPr>
          <w:rFonts w:ascii="Courier New" w:hAnsi="Courier New"/>
          <w:sz w:val="17"/>
        </w:rPr>
        <w:t xml:space="preserve">        d)    Bildung    335        </w:t>
      </w:r>
    </w:p>
    <w:p>
      <w:r>
        <w:rPr>
          <w:rFonts w:ascii="Courier New" w:hAnsi="Courier New"/>
          <w:sz w:val="17"/>
        </w:rPr>
        <w:t xml:space="preserve">        e)    neuer Stand    336        </w:t>
      </w:r>
    </w:p>
    <w:p>
      <w:r>
        <w:rPr>
          <w:rFonts w:ascii="Courier New" w:hAnsi="Courier New"/>
          <w:sz w:val="17"/>
        </w:rPr>
        <w:t xml:space="preserve">    10.    Rückstellungen im Kreditgeschäft[17]            </w:t>
      </w:r>
    </w:p>
    <w:p>
      <w:r>
        <w:rPr>
          <w:rFonts w:ascii="Courier New" w:hAnsi="Courier New"/>
          <w:sz w:val="17"/>
        </w:rPr>
        <w:t xml:space="preserve">        a)    Bestand in der Vorjahresbilanz    337        </w:t>
      </w:r>
    </w:p>
    <w:p>
      <w:r>
        <w:rPr>
          <w:rFonts w:ascii="Courier New" w:hAnsi="Courier New"/>
          <w:sz w:val="17"/>
        </w:rPr>
        <w:t xml:space="preserve">        b)    Verbrauch    338        </w:t>
      </w:r>
    </w:p>
    <w:p>
      <w:r>
        <w:rPr>
          <w:rFonts w:ascii="Courier New" w:hAnsi="Courier New"/>
          <w:sz w:val="17"/>
        </w:rPr>
        <w:t xml:space="preserve">        c)    Auflösung    339        </w:t>
      </w:r>
    </w:p>
    <w:p>
      <w:r>
        <w:rPr>
          <w:rFonts w:ascii="Courier New" w:hAnsi="Courier New"/>
          <w:sz w:val="17"/>
        </w:rPr>
        <w:t xml:space="preserve">        d)    Bildung    340        </w:t>
      </w:r>
    </w:p>
    <w:p>
      <w:r>
        <w:rPr>
          <w:rFonts w:ascii="Courier New" w:hAnsi="Courier New"/>
          <w:sz w:val="17"/>
        </w:rPr>
        <w:t xml:space="preserve">        e)    neuer Stand    341        </w:t>
      </w:r>
    </w:p>
    <w:p>
      <w:r>
        <w:rPr>
          <w:rFonts w:ascii="Courier New" w:hAnsi="Courier New"/>
          <w:sz w:val="17"/>
        </w:rPr>
        <w:t xml:space="preserve">    11.    Abschreibungen auf Forderungen zu Lasten der Gewinn- und Verlustrechnung    086        </w:t>
      </w:r>
    </w:p>
    <w:p>
      <w:r>
        <w:rPr>
          <w:rFonts w:ascii="Courier New" w:hAnsi="Courier New"/>
          <w:sz w:val="17"/>
        </w:rPr>
        <w:t xml:space="preserve">    12.    Zur Rettung von Forderungen erworbene Grundstücke undGebäude    087        </w:t>
      </w:r>
    </w:p>
    <w:p>
      <w:r>
        <w:rPr>
          <w:rFonts w:ascii="Courier New" w:hAnsi="Courier New"/>
          <w:sz w:val="17"/>
        </w:rPr>
        <w:t xml:space="preserve">    13.    Qualifizierte Beteiligungen an Unternehmen außerhalb des Finanzsektors, deren Nennbetrag 15 Prozent der anrechenbaren Eigenmittel des Einlagenkreditinstituts übersteigt[18]            </w:t>
      </w:r>
    </w:p>
    <w:p>
      <w:r>
        <w:rPr>
          <w:rFonts w:ascii="Courier New" w:hAnsi="Courier New"/>
          <w:sz w:val="17"/>
        </w:rPr>
        <w:t xml:space="preserve">        a)    des geprüften Einzelinstituts    426        </w:t>
      </w:r>
    </w:p>
    <w:p>
      <w:r>
        <w:rPr>
          <w:rFonts w:ascii="Courier New" w:hAnsi="Courier New"/>
          <w:sz w:val="17"/>
        </w:rPr>
        <w:t xml:space="preserve">                349    Stk.    Stk.</w:t>
      </w:r>
    </w:p>
    <w:p>
      <w:r>
        <w:rPr>
          <w:rFonts w:ascii="Courier New" w:hAnsi="Courier New"/>
          <w:sz w:val="17"/>
        </w:rPr>
        <w:t xml:space="preserve">        b)    der Institutsgruppe[19]    427        </w:t>
      </w:r>
    </w:p>
    <w:p>
      <w:r>
        <w:rPr>
          <w:rFonts w:ascii="Courier New" w:hAnsi="Courier New"/>
          <w:sz w:val="17"/>
        </w:rPr>
        <w:t xml:space="preserve">                351    Stk.    Stk.</w:t>
      </w:r>
    </w:p>
    <w:p>
      <w:r>
        <w:rPr>
          <w:rFonts w:ascii="Courier New" w:hAnsi="Courier New"/>
          <w:sz w:val="17"/>
        </w:rPr>
        <w:t xml:space="preserve">    14.    Darunter: Anteile nach Artikel 89 Absatz 3 Buchstabe a CRR    352        </w:t>
      </w:r>
    </w:p>
    <w:p>
      <w:r>
        <w:rPr>
          <w:rFonts w:ascii="Courier New" w:hAnsi="Courier New"/>
          <w:sz w:val="17"/>
        </w:rPr>
        <w:t xml:space="preserve">(6)    Bilanzunwirksame Ansprüche            </w:t>
      </w:r>
    </w:p>
    <w:p>
      <w:r>
        <w:rPr>
          <w:rFonts w:ascii="Courier New" w:hAnsi="Courier New"/>
          <w:sz w:val="17"/>
        </w:rPr>
        <w:t xml:space="preserve">    1.    Bare bilanzunwirksame Ansprüche            </w:t>
      </w:r>
    </w:p>
    <w:p>
      <w:r>
        <w:rPr>
          <w:rFonts w:ascii="Courier New" w:hAnsi="Courier New"/>
          <w:sz w:val="17"/>
        </w:rPr>
        <w:t xml:space="preserve">        a)    im Berichtsjahr[20]    091        </w:t>
      </w:r>
    </w:p>
    <w:p>
      <w:r>
        <w:rPr>
          <w:rFonts w:ascii="Courier New" w:hAnsi="Courier New"/>
          <w:sz w:val="17"/>
        </w:rPr>
        <w:t xml:space="preserve">        b)    Bestand am Jahresende    092        </w:t>
      </w:r>
    </w:p>
    <w:p>
      <w:r>
        <w:rPr>
          <w:rFonts w:ascii="Courier New" w:hAnsi="Courier New"/>
          <w:sz w:val="17"/>
        </w:rPr>
        <w:t xml:space="preserve">    2.    Unbare bilanzunwirksame Ansprüche            </w:t>
      </w:r>
    </w:p>
    <w:p>
      <w:r>
        <w:rPr>
          <w:rFonts w:ascii="Courier New" w:hAnsi="Courier New"/>
          <w:sz w:val="17"/>
        </w:rPr>
        <w:t xml:space="preserve">        a)    im Berichtsjahr20)    093        </w:t>
      </w:r>
    </w:p>
    <w:p>
      <w:r>
        <w:rPr>
          <w:rFonts w:ascii="Courier New" w:hAnsi="Courier New"/>
          <w:sz w:val="17"/>
        </w:rPr>
        <w:t xml:space="preserve">        b)    Bestand am Jahresende    094        </w:t>
      </w:r>
    </w:p>
    <w:p>
      <w:r>
        <w:rPr>
          <w:rFonts w:ascii="Courier New" w:hAnsi="Courier New"/>
          <w:sz w:val="17"/>
        </w:rPr>
        <w:t xml:space="preserve">(7)    Ergänzende Angaben            </w:t>
      </w:r>
    </w:p>
    <w:p>
      <w:r>
        <w:rPr>
          <w:rFonts w:ascii="Courier New" w:hAnsi="Courier New"/>
          <w:sz w:val="17"/>
        </w:rPr>
        <w:t xml:space="preserve">    1.    Abweichungen im Sinne von § 284 Absatz 2 Nummer 2 HGB            </w:t>
      </w:r>
    </w:p>
    <w:p>
      <w:r>
        <w:rPr>
          <w:rFonts w:ascii="Courier New" w:hAnsi="Courier New"/>
          <w:sz w:val="17"/>
        </w:rPr>
        <w:t xml:space="preserve">        a)    von Bilanzierungsmethoden ja (= 0) / nein (= 1)    095        </w:t>
      </w:r>
    </w:p>
    <w:p>
      <w:r>
        <w:rPr>
          <w:rFonts w:ascii="Courier New" w:hAnsi="Courier New"/>
          <w:sz w:val="17"/>
        </w:rPr>
        <w:t xml:space="preserve">        b)    von Bewertungsmethoden ja (= 0) / nein (= 1)    096        </w:t>
      </w:r>
    </w:p>
    <w:p>
      <w:r>
        <w:rPr>
          <w:rFonts w:ascii="Courier New" w:hAnsi="Courier New"/>
          <w:sz w:val="17"/>
        </w:rPr>
        <w:t xml:space="preserve">    2.    Buchwert der in Pension gegebenen Vermögensgegenstände bei echten Pensionsgeschäften (§ 340b Absatz 4 Satz 4 HGB)    106        </w:t>
      </w:r>
    </w:p>
    <w:p>
      <w:r>
        <w:rPr>
          <w:rFonts w:ascii="Courier New" w:hAnsi="Courier New"/>
          <w:sz w:val="17"/>
        </w:rPr>
        <w:t xml:space="preserve">    3.    Betrag der nicht mit dem Niederstwert bewerteten börsenfähigen Wertpapiere bei den folgenden Posten (§ 35 Absatz 1 Nummer 2 RechKredV)            </w:t>
      </w:r>
    </w:p>
    <w:p>
      <w:r>
        <w:rPr>
          <w:rFonts w:ascii="Courier New" w:hAnsi="Courier New"/>
          <w:sz w:val="17"/>
        </w:rPr>
        <w:t xml:space="preserve">        a)    Schuldverschreibungen und andere festverzinsliche Wertpapiere (Aktivposten Nr. 5)    107        </w:t>
      </w:r>
    </w:p>
    <w:p>
      <w:r>
        <w:rPr>
          <w:rFonts w:ascii="Courier New" w:hAnsi="Courier New"/>
          <w:sz w:val="17"/>
        </w:rPr>
        <w:t xml:space="preserve">        b)    Aktien und andere nicht festverzinsliche Wertpapiere (Aktivposten Nr. 6)    108        </w:t>
      </w:r>
    </w:p>
    <w:p>
      <w:r>
        <w:rPr>
          <w:rFonts w:ascii="Courier New" w:hAnsi="Courier New"/>
          <w:sz w:val="17"/>
        </w:rPr>
        <w:t xml:space="preserve">    4.    Leasinggeschäft            </w:t>
      </w:r>
    </w:p>
    <w:p>
      <w:r>
        <w:rPr>
          <w:rFonts w:ascii="Courier New" w:hAnsi="Courier New"/>
          <w:sz w:val="17"/>
        </w:rPr>
        <w:t xml:space="preserve">        a)    Gesamtbestand der aktivierten Leasinggegenstände    109        </w:t>
      </w:r>
    </w:p>
    <w:p>
      <w:r>
        <w:rPr>
          <w:rFonts w:ascii="Courier New" w:hAnsi="Courier New"/>
          <w:sz w:val="17"/>
        </w:rPr>
        <w:t xml:space="preserve">        b)    im Aufwandsposten Nr. 5 (Kontoform) oder 11 (Staffelform) enthaltene Abschreibungen und Wertberichtigungen auf Leasinggegenstände    110        </w:t>
      </w:r>
    </w:p>
    <w:p>
      <w:r>
        <w:rPr>
          <w:rFonts w:ascii="Courier New" w:hAnsi="Courier New"/>
          <w:sz w:val="17"/>
        </w:rPr>
        <w:t xml:space="preserve">        c)    im Ertragsposten Nr. 8 enthaltene Erträge aus Leasinggeschäften    111        </w:t>
      </w:r>
    </w:p>
    <w:p>
      <w:r>
        <w:rPr>
          <w:rFonts w:ascii="Courier New" w:hAnsi="Courier New"/>
          <w:sz w:val="17"/>
        </w:rPr>
        <w:t xml:space="preserve">    5.    Nachrangige Vermögensgegenstände            </w:t>
      </w:r>
    </w:p>
    <w:p>
      <w:r>
        <w:rPr>
          <w:rFonts w:ascii="Courier New" w:hAnsi="Courier New"/>
          <w:sz w:val="17"/>
        </w:rPr>
        <w:t xml:space="preserve">        a)    nachrangige Forderungen an Kreditinstitute    112        </w:t>
      </w:r>
    </w:p>
    <w:p>
      <w:r>
        <w:rPr>
          <w:rFonts w:ascii="Courier New" w:hAnsi="Courier New"/>
          <w:sz w:val="17"/>
        </w:rPr>
        <w:t xml:space="preserve">        b)    nachrangige Forderungen an Kunden    113        </w:t>
      </w:r>
    </w:p>
    <w:p>
      <w:r>
        <w:rPr>
          <w:rFonts w:ascii="Courier New" w:hAnsi="Courier New"/>
          <w:sz w:val="17"/>
        </w:rPr>
        <w:t xml:space="preserve">        c)    sonstige nachrangige Vermögensgegenstände    114        </w:t>
      </w:r>
    </w:p>
    <w:p>
      <w:r>
        <w:rPr>
          <w:rFonts w:ascii="Courier New" w:hAnsi="Courier New"/>
          <w:sz w:val="17"/>
        </w:rPr>
        <w:t xml:space="preserve">    6.    Fristengliederung der Forderungen und Verbindlichkeiten nach § 340d HGB in Verbindung mit § 9 RechKredV            </w:t>
      </w:r>
    </w:p>
    <w:p>
      <w:r>
        <w:rPr>
          <w:rFonts w:ascii="Courier New" w:hAnsi="Courier New"/>
          <w:sz w:val="17"/>
        </w:rPr>
        <w:t xml:space="preserve">        a)    andere Forderungen an Kreditinstitute mit Ausnahme der darin enthaltenen Bausparguthaben aus abgeschlossenen Bausparverträgen (Aktivposten Nr. 3 b) mit einer Restlaufzeit            </w:t>
      </w:r>
    </w:p>
    <w:p>
      <w:r>
        <w:rPr>
          <w:rFonts w:ascii="Courier New" w:hAnsi="Courier New"/>
          <w:sz w:val="17"/>
        </w:rPr>
        <w:t xml:space="preserve">            aa) bis drei Monate    354        </w:t>
      </w:r>
    </w:p>
    <w:p>
      <w:r>
        <w:rPr>
          <w:rFonts w:ascii="Courier New" w:hAnsi="Courier New"/>
          <w:sz w:val="17"/>
        </w:rPr>
        <w:t xml:space="preserve">            bb) mehr als drei Monate bis ein Jahr    355        </w:t>
      </w:r>
    </w:p>
    <w:p>
      <w:r>
        <w:rPr>
          <w:rFonts w:ascii="Courier New" w:hAnsi="Courier New"/>
          <w:sz w:val="17"/>
        </w:rPr>
        <w:t xml:space="preserve">            cc) mehr als ein Jahr bis fünf Jahre    356        </w:t>
      </w:r>
    </w:p>
    <w:p>
      <w:r>
        <w:rPr>
          <w:rFonts w:ascii="Courier New" w:hAnsi="Courier New"/>
          <w:sz w:val="17"/>
        </w:rPr>
        <w:t xml:space="preserve">            dd) mehr als fünf Jahre    357        </w:t>
      </w:r>
    </w:p>
    <w:p>
      <w:r>
        <w:rPr>
          <w:rFonts w:ascii="Courier New" w:hAnsi="Courier New"/>
          <w:sz w:val="17"/>
        </w:rPr>
        <w:t xml:space="preserve">        b)    Forderungen an Kunden (Aktivposten Nr. 4) mit einer Restlaufzeit            </w:t>
      </w:r>
    </w:p>
    <w:p>
      <w:r>
        <w:rPr>
          <w:rFonts w:ascii="Courier New" w:hAnsi="Courier New"/>
          <w:sz w:val="17"/>
        </w:rPr>
        <w:t xml:space="preserve">            aa) bis drei Monate    358        </w:t>
      </w:r>
    </w:p>
    <w:p>
      <w:r>
        <w:rPr>
          <w:rFonts w:ascii="Courier New" w:hAnsi="Courier New"/>
          <w:sz w:val="17"/>
        </w:rPr>
        <w:t xml:space="preserve">            bb) mehr als drei Monate bis ein Jahr    359        </w:t>
      </w:r>
    </w:p>
    <w:p>
      <w:r>
        <w:rPr>
          <w:rFonts w:ascii="Courier New" w:hAnsi="Courier New"/>
          <w:sz w:val="17"/>
        </w:rPr>
        <w:t xml:space="preserve">            cc) mehr als ein Jahr bis fünf Jahre    360        </w:t>
      </w:r>
    </w:p>
    <w:p>
      <w:r>
        <w:rPr>
          <w:rFonts w:ascii="Courier New" w:hAnsi="Courier New"/>
          <w:sz w:val="17"/>
        </w:rPr>
        <w:t xml:space="preserve">            dd) mehr als fünf Jahre    361        </w:t>
      </w:r>
    </w:p>
    <w:p>
      <w:r>
        <w:rPr>
          <w:rFonts w:ascii="Courier New" w:hAnsi="Courier New"/>
          <w:sz w:val="17"/>
        </w:rPr>
        <w:t xml:space="preserve">        c)    Verbindlichkeiten gegenüber Kreditinstituten mit vereinbarter Laufzeit oder Kündigungsfrist (Passivposten Nr. 1 b) mit einer Restlaufzeit            </w:t>
      </w:r>
    </w:p>
    <w:p>
      <w:r>
        <w:rPr>
          <w:rFonts w:ascii="Courier New" w:hAnsi="Courier New"/>
          <w:sz w:val="17"/>
        </w:rPr>
        <w:t xml:space="preserve">            aa) bis drei Monate    362        </w:t>
      </w:r>
    </w:p>
    <w:p>
      <w:r>
        <w:rPr>
          <w:rFonts w:ascii="Courier New" w:hAnsi="Courier New"/>
          <w:sz w:val="17"/>
        </w:rPr>
        <w:t xml:space="preserve">            bb) mehr als drei Monate bis ein Jahr    363        </w:t>
      </w:r>
    </w:p>
    <w:p>
      <w:r>
        <w:rPr>
          <w:rFonts w:ascii="Courier New" w:hAnsi="Courier New"/>
          <w:sz w:val="17"/>
        </w:rPr>
        <w:t xml:space="preserve">            cc) mehr als ein Jahr bis fünf Jahre    364        </w:t>
      </w:r>
    </w:p>
    <w:p>
      <w:r>
        <w:rPr>
          <w:rFonts w:ascii="Courier New" w:hAnsi="Courier New"/>
          <w:sz w:val="17"/>
        </w:rPr>
        <w:t xml:space="preserve">            dd) mehr als fünf Jahre    365        </w:t>
      </w:r>
    </w:p>
    <w:p>
      <w:r>
        <w:rPr>
          <w:rFonts w:ascii="Courier New" w:hAnsi="Courier New"/>
          <w:sz w:val="17"/>
        </w:rPr>
        <w:t xml:space="preserve">        d)    Spareinlagen mit vereinbarter Kündigungsfrist (Passivposten Nr. 2 a) mit einer Restlaufzeit            </w:t>
      </w:r>
    </w:p>
    <w:p>
      <w:r>
        <w:rPr>
          <w:rFonts w:ascii="Courier New" w:hAnsi="Courier New"/>
          <w:sz w:val="17"/>
        </w:rPr>
        <w:t xml:space="preserve">            aa) bis drei Monate    366        </w:t>
      </w:r>
    </w:p>
    <w:p>
      <w:r>
        <w:rPr>
          <w:rFonts w:ascii="Courier New" w:hAnsi="Courier New"/>
          <w:sz w:val="17"/>
        </w:rPr>
        <w:t xml:space="preserve">            bb) mehr als drei Monate bis ein Jahr    367        </w:t>
      </w:r>
    </w:p>
    <w:p>
      <w:r>
        <w:rPr>
          <w:rFonts w:ascii="Courier New" w:hAnsi="Courier New"/>
          <w:sz w:val="17"/>
        </w:rPr>
        <w:t xml:space="preserve">            cc) mehr als ein Jahr bis fünf Jahre    368        </w:t>
      </w:r>
    </w:p>
    <w:p>
      <w:r>
        <w:rPr>
          <w:rFonts w:ascii="Courier New" w:hAnsi="Courier New"/>
          <w:sz w:val="17"/>
        </w:rPr>
        <w:t xml:space="preserve">            dd) mehr als fünf Jahre    369        </w:t>
      </w:r>
    </w:p>
    <w:p>
      <w:r>
        <w:rPr>
          <w:rFonts w:ascii="Courier New" w:hAnsi="Courier New"/>
          <w:sz w:val="17"/>
        </w:rPr>
        <w:t xml:space="preserve">        e)    andere Verbindlichkeiten gegenüber Kunden mit vereinbarter Laufzeit oder Kündigungsfrist (Passivposten Nr. 2 b) bb) mit einer Restlaufzeit            </w:t>
      </w:r>
    </w:p>
    <w:p>
      <w:r>
        <w:rPr>
          <w:rFonts w:ascii="Courier New" w:hAnsi="Courier New"/>
          <w:sz w:val="17"/>
        </w:rPr>
        <w:t xml:space="preserve">            aa) bis drei Monate    370        </w:t>
      </w:r>
    </w:p>
    <w:p>
      <w:r>
        <w:rPr>
          <w:rFonts w:ascii="Courier New" w:hAnsi="Courier New"/>
          <w:sz w:val="17"/>
        </w:rPr>
        <w:t xml:space="preserve">            bb) mehr als drei Monate bis ein Jahr    371        </w:t>
      </w:r>
    </w:p>
    <w:p>
      <w:r>
        <w:rPr>
          <w:rFonts w:ascii="Courier New" w:hAnsi="Courier New"/>
          <w:sz w:val="17"/>
        </w:rPr>
        <w:t xml:space="preserve">            cc) mehr als ein Jahr bis fünf Jahre    372        </w:t>
      </w:r>
    </w:p>
    <w:p>
      <w:r>
        <w:rPr>
          <w:rFonts w:ascii="Courier New" w:hAnsi="Courier New"/>
          <w:sz w:val="17"/>
        </w:rPr>
        <w:t xml:space="preserve">            dd) mehr als fünf Jahre    373        </w:t>
      </w:r>
    </w:p>
    <w:p>
      <w:r>
        <w:rPr>
          <w:rFonts w:ascii="Courier New" w:hAnsi="Courier New"/>
          <w:sz w:val="17"/>
        </w:rPr>
        <w:t xml:space="preserve">        f)    andere verbriefte Verbindlichkeiten (Passivposten Nr. 3 b) mit einer Restlaufzeit            </w:t>
      </w:r>
    </w:p>
    <w:p>
      <w:r>
        <w:rPr>
          <w:rFonts w:ascii="Courier New" w:hAnsi="Courier New"/>
          <w:sz w:val="17"/>
        </w:rPr>
        <w:t xml:space="preserve">            aa) bis drei Monate    374        </w:t>
      </w:r>
    </w:p>
    <w:p>
      <w:r>
        <w:rPr>
          <w:rFonts w:ascii="Courier New" w:hAnsi="Courier New"/>
          <w:sz w:val="17"/>
        </w:rPr>
        <w:t xml:space="preserve">            bb) mehr als drei Monate bis ein Jahr    375        </w:t>
      </w:r>
    </w:p>
    <w:p>
      <w:r>
        <w:rPr>
          <w:rFonts w:ascii="Courier New" w:hAnsi="Courier New"/>
          <w:sz w:val="17"/>
        </w:rPr>
        <w:t xml:space="preserve">            cc) mehr als ein Jahr bis fünf Jahre    376        </w:t>
      </w:r>
    </w:p>
    <w:p>
      <w:r>
        <w:rPr>
          <w:rFonts w:ascii="Courier New" w:hAnsi="Courier New"/>
          <w:sz w:val="17"/>
        </w:rPr>
        <w:t xml:space="preserve">            dd) mehr als fünf Jahre    377        </w:t>
      </w:r>
    </w:p>
    <w:p>
      <w:r>
        <w:rPr>
          <w:rFonts w:ascii="Courier New" w:hAnsi="Courier New"/>
          <w:sz w:val="17"/>
        </w:rPr>
        <w:t xml:space="preserve">        g)    im Posten „Forderungen an Kunden“ (Aktivposten Nr. 4) enthaltene Forderungen mit unbestimmter Laufzeit    378        </w:t>
      </w:r>
    </w:p>
    <w:p>
      <w:r>
        <w:rPr>
          <w:rFonts w:ascii="Courier New" w:hAnsi="Courier New"/>
          <w:sz w:val="17"/>
        </w:rPr>
        <w:t xml:space="preserve">        h)    im Posten „Schuldverschreibungen und andere festverzinsliche Wertpapiere“ (Aktivposten Nr. 5) enthaltene Beträge, die in dem Jahr, das auf den Bilanzstichtag folgt, fällig werden    379        </w:t>
      </w:r>
    </w:p>
    <w:p>
      <w:r>
        <w:rPr>
          <w:rFonts w:ascii="Courier New" w:hAnsi="Courier New"/>
          <w:sz w:val="17"/>
        </w:rPr>
        <w:t xml:space="preserve">        i)    im Unterposten „begebene Schuldverschreibungen“ (Passivposten Nr. 3 a) enthaltene Beträge, die in dem Jahr, das auf den Bilanzstichtag folgt, fällig werden    380        </w:t>
      </w:r>
    </w:p>
    <w:p>
      <w:r>
        <w:t xml:space="preserve">1 Hier sind negative Ergebnisbeiträge aus den Sicherungsgeschäften mit den Kursreserven der gesicherten Aktiva zu verrechnen.</w:t>
      </w:r>
    </w:p>
    <w:p>
      <w:r>
        <w:t xml:space="preserve">2 Einschließlich laufender Erträge aus Beteiligungen, Erträgen aus Ergebnisabführungsverträgen und Leasinggebühren.</w:t>
      </w:r>
    </w:p>
    <w:p>
      <w:r>
        <w:t xml:space="preserve">3 Hier sind auch die Erträge und Aufwendungen für durchlaufende Kredite zu erfassen.</w:t>
      </w:r>
    </w:p>
    <w:p>
      <w:r>
        <w:t xml:space="preserve">4 Einschließlich der Gewinne und Verluste aus Devisentermingeschäften unabhängig davon, ob es sich um zins- oder kursbedingte Aufwendungen oder Erträge handelt.</w:t>
      </w:r>
    </w:p>
    <w:p>
      <w:r>
        <w:t xml:space="preserve">5 Hier sind die Ergebnisse aus Warenverkehr und Nebenbetrieben sowie alle anderen ordentlichen Ergebnisse aus dem nicht zinsabhängigen Geschäft einzuordnen, die nicht unter Position (4) Nr. 3 oder 4 fallen.</w:t>
      </w:r>
    </w:p>
    <w:p>
      <w:r>
        <w:t xml:space="preserve">6 Einschließlich Aufwendungen für vertraglich vereinbarte feste Tätigkeitsvergütungen an die persönlich haftenden Gesellschafter. Aufwendungen für von fremden Arbeitgebern angemietete Arbeitskräfte sind dem anderen Verwaltungsaufwand zuzurechnen.</w:t>
      </w:r>
    </w:p>
    <w:p>
      <w:r>
        <w:t xml:space="preserve">7 Hierunter fallen unter anderem Abschreibungen und Wertberichtigungen auf Sachanlagen und immaterielle Anlagewerte, ausgenommen außerordentliche Abschreibungen. Zu erfassen sind hier alle Steuern außer Steuern vom Einkommen und vom Ertrag.</w:t>
      </w:r>
    </w:p>
    <w:p>
      <w:r>
        <w:t xml:space="preserve">8 Hier sind alle Erträge anzugeben, die nicht dem ordentlichen Geschäft zuzuordnen sind und daher nicht in das Betriebsergebnis eingehen, nicht jedoch Erträge aus Verlustübernahmen und aus baren bilanzunwirksamen Ansprüchen.</w:t>
      </w:r>
    </w:p>
    <w:p>
      <w:r>
        <w:t xml:space="preserve">9 Hier sind alle Aufwendungen anzugeben, die nicht dem ordentlichen Geschäft zuzuordnen sind und daher nicht in das Betriebsergebnis eingehen, nicht jedoch Aufwendungen aus Gewinnabführungen.</w:t>
      </w:r>
    </w:p>
    <w:p>
      <w:r>
        <w:t xml:space="preserve">10 Bei den Angaben zum Kreditgeschäft ist grundsätzlich der Kreditbegriff gemäß § 19 KWG zugrunde zu legen. Derivate sind mit ihrem Kreditäquivalenzbetrag anzugeben, und zwar nach der jeweils von den Instituten angewandten Berechnungsmethode (vgl. Teil 3 Titel II Kapitel 6 CRR). Dabei ist von den Beträgen nach Abzug von Wertberichtigungen auszugehen.</w:t>
      </w:r>
    </w:p>
    <w:p>
      <w:r>
        <w:t xml:space="preserve">11 Hierunter fallen Engagements, die kein Ausfallkriterium erfüllen, deren Ausfallwahrscheinlichkeit (PD) jedoch 4 % beträgt oder übersteigt. Sollte das eingesetzte Risikoklassifizierungsverfahren keine Risikoklasse mit einer 4 %-Schwelle aufweisen, so ist die nächste höhere Schwelle zu verwenden. Sollte das intern verwendete Risikoklassifizierungsverfahren nicht auf ermittelten Ausfallwahrscheinlichkeiten (PDs) basieren, ist eine der 4 %-Schwelle äquivalente Abgrenzung des Gelbbereichs vorzunehmen. Diese muss für Dritte nachvollziehbar sein und soll über den Prüfungszeitraum hinaus konsistent angewendet werden.</w:t>
      </w:r>
    </w:p>
    <w:p>
      <w:r>
        <w:t xml:space="preserve">12 Von dem Institut im Rahmen der Erst- und Folgebewertung der Kreditsicherheiten gemäß BTO 1.2.1 Nr. 2 bis 4 und BTO 1.2.2 Nr. 3 und 4 der Mindestanforderungen an das Risikomanagement (MaRisk) der BaFin ermittelte Werte.</w:t>
      </w:r>
    </w:p>
    <w:p>
      <w:r>
        <w:t xml:space="preserve">13 Diese Kategorie beinhaltet keine Kredite, auf die ausschließlich pauschalierte Einzelwertberichtigungen gebildet wurden.</w:t>
      </w:r>
    </w:p>
    <w:p>
      <w:r>
        <w:t xml:space="preserve">14 Die Angaben zur Höhe der gebildeten EWB müssen den im Jahresabschluss berücksichtigten Werten entsprechen. Hinzuzurechnen sind Vorsorgereserven, die an akute Risiken gebunden sind und in deren Höhe auf die Bildung von EWB verzichtet wurde, sowie individuell zurechenbare Rückstellungen für Ausfallrisiken. Die hier berücksichtigten Vorsorgereserven sind zusätzlich in Position (2) Nr. 1 b (Pos. 400), nicht jedoch in Position (2) Nr. 1 a (Pos. 002) auszuweisen.</w:t>
      </w:r>
    </w:p>
    <w:p>
      <w:r>
        <w:t xml:space="preserve">15 Kredite, für die anstelle von EWB ausnahmsweise Vorsorgereserven gebunden wurden, sind hier ebenfalls zu erfassen.</w:t>
      </w:r>
    </w:p>
    <w:p>
      <w:r>
        <w:t xml:space="preserve">16 Einschließlich der unter den Rückstellungen ausgewiesenen Beträge.</w:t>
      </w:r>
    </w:p>
    <w:p>
      <w:r>
        <w:t xml:space="preserve">17 Soweit Pauschalwertberichtigungen als Rückstellungen ausgewiesen werden, sind sie unter Position (5) Nr. 8 anzugeben.</w:t>
      </w:r>
    </w:p>
    <w:p>
      <w:r>
        <w:t xml:space="preserve">18 Bedeutende Beteiligungen nach Artikel 89 Absatz 1 oder 2 CRR einschließlich der Anteile, die unter die Regelung des Artikel 89 Absatz 3 Buchstabe (a) fallen.</w:t>
      </w:r>
    </w:p>
    <w:p>
      <w:r>
        <w:t xml:space="preserve">19 Soweit die Relation auch auf konsolidierter Basis nach Artikel 11 Absatz 2 i. V. m. Artikel 89 CRR eingehalten werden muss, ist diese Angabe hier zusätzlich aufzunehmen.</w:t>
      </w:r>
    </w:p>
    <w:p>
      <w:r>
        <w:t xml:space="preserve">20 Nettoposition (erhaltene ./. zurückgezahlte).</w:t>
      </w:r>
    </w:p>
    <w:p>
      <w:r>
        <w:rPr>
          <w:color w:val="555555"/>
          <w:sz w:val="17"/>
        </w:rPr>
        <w:t xml:space="preserve">Zitiervorschlag: Anlage 1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