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PrüfbV 2015 — Angaben zur Ertragslage von Bausparkassen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Zinsergebnis ist jeweils im Vergleich zum Vorjahr darzustellen und wie folgt aufzugliedern:</w:t>
      </w:r>
    </w:p>
    <w:p>
      <w:pPr>
        <w:ind w:left="420"/>
      </w:pPr>
      <w:r>
        <w:t xml:space="preserve">1. kollektive Marge und kollektives Zinsergebnis durch eine Gegenüberstellung der für die Refinanzierung von Bauspardarlehen entstandenen Zinsaufwendungen für Bauspareinlagen und der Zinserträge aus Bauspardarlehen,</w:t>
      </w:r>
    </w:p>
    <w:p>
      <w:pPr>
        <w:ind w:left="420"/>
      </w:pPr>
      <w:r>
        <w:t xml:space="preserve">2. Marge und Zinsergebnis aus der Zwischenanlage der freien Kollektivmittel,</w:t>
      </w:r>
    </w:p>
    <w:p>
      <w:pPr>
        <w:ind w:left="420"/>
      </w:pPr>
      <w:r>
        <w:t xml:space="preserve">3. Marge und Zinsergebnis aus dem über Fremdmittel ohne Bauspareinlagen refinanzierten Teil des Vor- und Zwischenfinanzierungsgeschäfts beziehungsweise aus den sonstigen Baudarlehen bei nennenswertem Umfang,</w:t>
      </w:r>
    </w:p>
    <w:p>
      <w:pPr>
        <w:ind w:left="420"/>
      </w:pPr>
      <w:r>
        <w:t xml:space="preserve">4. verbleibendes Zinsergebnis aus Eigenmitteln und unverzinslichen Passiva (Residualgröße).</w:t>
      </w:r>
    </w:p>
    <w:p>
      <w:r>
        <w:t xml:space="preserve">Die Berechnung ist vereinfachend auf der Basis durchschnittlicher Bestände und durchschnittlicher Zinssätze vorzunehmen. Über das Vorhandensein und die Handhabung von Zinsanpassungsklauseln bei den Vor- und Zwischenfinanzierungskrediten ist zu berichten.</w:t>
      </w:r>
    </w:p>
    <w:p>
      <w:r>
        <w:rPr>
          <w:color w:val="555555"/>
          <w:sz w:val="17"/>
        </w:rPr>
        <w:t xml:space="preserve">Zitiervorschlag: § 59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