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PrüfbV 2015 — Angaben zum Kreditgeschäft von Bausparkassen</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(1) Die Beurteilung gemäß § 54 umfasst auch die Sicherung der Darlehensforderungen und die Angemessenheit der Beleihungswertermittlung.</w:t>
      </w:r>
    </w:p>
    <w:p>
      <w:r>
        <w:t xml:space="preserve">(2) Die Baudarlehen sind nach ihrer Inanspruchnahme am Ende des Berichtsjahres nach der Aufgliederung in Anlage 2 Position 1 Nummer 7 zu gliedern. Dabei sind mehrere Baudarlehen an einen Kreditnehmer zusammenzufassen. Für jede Größenklasse sind die Anzahl der Darlehen, der Gesamtbetrag der Darlehen und deren prozentualer Anteil am Gesamtbestand der Baudarlehen anzugeben. Hierbei ist nach Bauspardarlehen, Vor- und Zwischenfinanzierungskrediten sowie nach sonstigen Baudarlehen zu gliedern.</w:t>
      </w:r>
    </w:p>
    <w:p>
      <w:r>
        <w:rPr>
          <w:color w:val="555555"/>
          <w:sz w:val="17"/>
        </w:rPr>
        <w:t xml:space="preserve">Zitiervorschlag: § 55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