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PrüfbV 2015 — Form und Frist der Berichterstattung</w:t>
      </w:r>
    </w:p>
    <w:p>
      <w:r>
        <w:rPr>
          <w:color w:val="555555"/>
          <w:sz w:val="18"/>
        </w:rPr>
        <w:t xml:space="preserve">Prüfungsberichtsverordnung</w:t>
      </w:r>
    </w:p>
    <w:p>
      <w:r>
        <w:rPr>
          <w:color w:val="555555"/>
          <w:sz w:val="18"/>
        </w:rPr>
        <w:t xml:space="preserve">Stand: 10.06.2019 (konsolidierte Textfassung, kein amtliches Inkrafttretensdatum)</w:t>
      </w:r>
    </w:p>
    <w:p>
      <w:r>
        <w:t xml:space="preserve">Jeder Prüfungsbericht und jeder Teilprüfungsbericht ist unverzüglich nach Fertigstellung bei der zuständigen Hauptverwaltung der Deutschen Bundesbank in einfacher Ausfertigung sowie bei der Bundesanstalt in zweifacher Ausfertigung in Papierform einzureichen. Zusätzlich ist jeweils eine elektronische Fassung des Berichts einzureichen. Die Bundesanstalt kann nach Anhörung der Deutschen Bundesbank Vorgaben machen, in welchem Dateiformat und auf welchem Einreichungsweg die elektronische Fassung bei ihr einzureichen ist. Bei Prüfungsberichten, die nur auf Anforderung bei der Bundesanstalt einzureichen sind, bestimmt diese in ihrer Anforderung die Zahl der Ausfertigungen und deren Form.</w:t>
      </w:r>
    </w:p>
    <w:p>
      <w:r>
        <w:rPr>
          <w:color w:val="555555"/>
          <w:sz w:val="17"/>
        </w:rPr>
        <w:t xml:space="preserve">Zitiervorschlag: § 5 PrüfbV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https://recht.nulegal.eu/gesetze/Pr%C3%BCfbV%202015/5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