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48 PrüfbV 2015 — Zusätzliche Angaben</w:t>
      </w:r>
    </w:p>
    <w:p>
      <w:r>
        <w:rPr>
          <w:color w:val="555555"/>
          <w:sz w:val="18"/>
        </w:rPr>
        <w:t xml:space="preserve">Prüfungsberichtsverordnung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Vorbehaltlich der §§ 46 und 47 ist bei übergeordneten Unternehmen einer Institutsgruppe, Finanzholding-Gruppe, gemischten Finanzholding-Gruppe sowie bei nachgeordneten Unternehmen, die die Bundesanstalt jeweils gemäß § 2a Absatz 2 des Kreditwesengesetzes freigestellt hat, im Bericht über die Prüfung des übergeordneten Unternehmens zusätzlich einzugehen auf:</w:t>
      </w:r>
    </w:p>
    <w:p>
      <w:pPr>
        <w:ind w:left="420"/>
      </w:pPr>
      <w:r>
        <w:t xml:space="preserve">1. die Namen der gruppenangehörigen Unternehmen, die die Bundesanstalt gemäß § 2a Absatz 2 des Kreditwesengesetzes freigestellt hat, sowie den Umfang der Freistellung,</w:t>
      </w:r>
    </w:p>
    <w:p>
      <w:pPr>
        <w:ind w:left="420"/>
      </w:pPr>
      <w:r>
        <w:t xml:space="preserve">2. Übertragungen von Eigenmitteln oder Rückzahlungen von Verbindlichkeiten durch das übergeordnete Unternehmen zu Gunsten von nachgeordneten Unternehmen, die die Bundesanstalt gemäß § 2a Absatz 2 des Kreditwesengesetzes freigestellt hat,</w:t>
      </w:r>
    </w:p>
    <w:p>
      <w:pPr>
        <w:ind w:left="420"/>
      </w:pPr>
      <w:r>
        <w:t xml:space="preserve">3. Übertragungen von Eigenmitteln oder Rückzahlungen von Verbindlichkeiten zu Gunsten des übergeordneten Unternehmens, sofern die Bundesanstalt dieses gemäß § 2a Absatz 2 des Kreditwesengesetzes freigestellt hat.</w:t>
      </w:r>
    </w:p>
    <w:p>
      <w:r>
        <w:rPr>
          <w:color w:val="555555"/>
          <w:sz w:val="17"/>
        </w:rPr>
        <w:t xml:space="preserve">Zitiervorschlag: § 48 PrüfbV 2015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https://recht.nulegal.eu/gesetze/Pr%C3%BCfbV%202015/48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