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PrüfbV 2015 — Berichterstattung bei aufsichtsrechtlichen Gruppen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Bericht über die Prüfung muss Ausführungen enthalten, die einen Überblick über die Lage der Gruppe und deren Risikostruktur vermitteln. § 11 ist nach Maßgabe des § 25a Absatz 3 des Kreditwesengesetzes entsprechend anzuwenden.</w:t>
      </w:r>
    </w:p>
    <w:p>
      <w:r>
        <w:t xml:space="preserve">(2) Es ist darüber zu berichten, mit welchen Vorkehrungen die Gruppe die Anforderungen des Artikels 11 in Verbindung mit Teil 4 der Verordnung (EU) Nr. 575/2013 und des § 13c des Kreditwesengesetzes einhält. Diese Berichterstattung umfasst auch die Einhaltung der Meldepflichten gemäß Artikel 11 in Verbindung mit Artikel 394 der Verordnung (EU) Nr. 575/2013 und die Einhaltung der Anzeigevorschrift gemäß § 13c Absatz 1 Satz 1 des Kreditwesengesetzes.</w:t>
      </w:r>
    </w:p>
    <w:p>
      <w:r>
        <w:rPr>
          <w:color w:val="555555"/>
          <w:sz w:val="17"/>
        </w:rPr>
        <w:t xml:space="preserve">Zitiervorschlag: § 46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https://recht.nulegal.eu/gesetze/Pr%C3%BCfbV%202015/46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