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PrüfbV 2015 — Regelungsbereich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Abschnitt ist auf übergeordnete und nachgeordnete Unternehmen einer Institutsgruppe, Finanzholding-Gruppe oder gemischten Finanzholding-Gruppe nach § 10a Absatz 1 Satz 1 des Kreditwesengesetzes, auf Finanzkonglomerate nach § 1 Absatz 2 des Finanzkonglomerate-Aufsichtsgesetzes sowie auf den Konzernprüfungsbericht anzuwenden.</w:t>
      </w:r>
    </w:p>
    <w:p>
      <w:r>
        <w:t xml:space="preserve">(2) Dieser Abschnitt ist außerdem auf Tochterunternehmen nach Artikel 22 der Verordnung (EU) Nr. 575/2013 anzuwenden. Ist das Institut gruppenangehöriges Unternehmen einer Institutsgruppe, Finanzholding-Gruppe oder gemischten Finanzholding-Gruppe, für deren Beaufsichtigung auf zusammengefasster Basis die Bundesanstalt zuständig ist, hat der Abschlussprüfer die Zusammenfassung lediglich im Prüfungsbericht des obersten inländischen übergeordneten Unternehmens zu beurteilen.</w:t>
      </w:r>
    </w:p>
    <w:p>
      <w:r>
        <w:rPr>
          <w:color w:val="555555"/>
          <w:sz w:val="17"/>
        </w:rPr>
        <w:t xml:space="preserve">Zitiervorschlag: § 43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