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PrüfbV 2015 — Art und Umfang der Berichterstattung</w:t>
      </w:r>
    </w:p>
    <w:p>
      <w:r>
        <w:rPr>
          <w:color w:val="555555"/>
          <w:sz w:val="18"/>
        </w:rPr>
        <w:t xml:space="preserve">Prüfungsberichtsverordnung</w:t>
      </w:r>
    </w:p>
    <w:p>
      <w:r>
        <w:rPr>
          <w:color w:val="555555"/>
          <w:sz w:val="18"/>
        </w:rPr>
        <w:t xml:space="preserve">Stand: 01.04.2026 (konsolidierte Textfassung, kein amtliches Inkrafttretensdatum)</w:t>
      </w:r>
    </w:p>
    <w:p>
      <w:r>
        <w:t xml:space="preserve">(1) Der Umfang der Berichterstattung hat, vorbehaltlich der nachfolgenden Bestimmungen, der Bedeutung und dem Risikogehalt der dargestellten Vorgänge zu entsprechen.</w:t>
      </w:r>
    </w:p>
    <w:p>
      <w:r>
        <w:t xml:space="preserve">(2) Bei den im Prüfungsbericht vorgenommenen Beurteilungen sind die aufsichtlichen Vorgaben zu den einzelnen Bereichen zu beachten. Die Beurteilungen sind nachvollziehbar zu begründen.</w:t>
      </w:r>
    </w:p>
    <w:p>
      <w:r>
        <w:t xml:space="preserve">(3) Bedeutsame Vorgänge, die nach dem Bilanzstichtag eingetreten und dem Prüfer bekannt geworden sind, sind zu berücksichtigen und im Prüfungsbericht darzulegen.</w:t>
      </w:r>
    </w:p>
    <w:p>
      <w:r>
        <w:t xml:space="preserve">(4) Wurde im Berichtszeitraum eine Prüfung gemäß § 44 Absatz 1 Satz 3 des Kreditwesengesetzes durchgeführt, so hat der Abschlussprüfer die Ergebnisse dieser Prüfung bei der Prüfung der aufsichtlichen Sachverhalte zu verwerten. Bei Sachverhalten, die Gegenstand der Prüfung gemäß § 44 Absatz 1 Satz 3 des Kreditwesengesetzes waren, kann sich die aufsichtliche Berichterstattung auf wesentliche Veränderungen beschränken, die bis zum Bilanzstichtag eingetreten sind.</w:t>
      </w:r>
    </w:p>
    <w:p>
      <w:r>
        <w:t xml:space="preserve">(5) Hat nach § 30 des Kreditwesengesetzes die Bundesanstalt für Finanzdienstleistungsaufsicht (Bundesanstalt) gegenüber dem Institut Bestimmungen über den Inhalt der Jahresabschlussprüfung getroffen, so hat der Prüfer hierauf im Prüfungsbericht im Zusammenhang mit dem Prüfungsauftrag hinzuweisen.</w:t>
      </w:r>
    </w:p>
    <w:p>
      <w:r>
        <w:t xml:space="preserve">(6) Die Prüfung und die Berichterstattung über die Prüfung können nach pflichtgemäßem Ermessen des Abschlussprüfers in eine Teilprüfung I und einen Teilprüfungsbericht I sowie eine Teilprüfung II und einen Teilprüfungsbericht II unterteilt werden. Die Aufteilung der Prüfungsgebiete hat über mehrere Jahre hinweg stetig zu erfolgen. Über wesentliche Änderungen der Ergebnisse des Teilprüfungsberichts I bis zum Ende des Berichtszeitraums ist im Zuge des Teilprüfungsberichts II zu berichten. Hierzu zählen insbesondere die wesentlichen Änderungen der quantitativen Angaben über die Risikotragfähigkeit.</w:t>
      </w:r>
    </w:p>
    <w:p>
      <w:r>
        <w:t xml:space="preserve">(7) Im Prüfungsbericht ist darzulegen, wie die bei der letzten Prüfung festgestellten Mängel beseitigt oder welche Maßnahmen zu ihrer Beseitigung eingeleitet worden sind.</w:t>
      </w:r>
    </w:p>
    <w:p>
      <w:r>
        <w:rPr>
          <w:color w:val="555555"/>
          <w:sz w:val="17"/>
        </w:rPr>
        <w:t xml:space="preserve">Zitiervorschlag: § 4 PrüfbV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https://recht.nulegal.eu/gesetze/Pr%C3%BCfbV%202015/4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