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 PrüfbV 2015 — Geschäftliche Entwicklung im Berichtsjahr</w:t>
      </w:r>
    </w:p>
    <w:p>
      <w:r>
        <w:rPr>
          <w:color w:val="555555"/>
          <w:sz w:val="18"/>
        </w:rPr>
        <w:t xml:space="preserve">Prüfungsberichtsverordnung</w:t>
      </w:r>
    </w:p>
    <w:p>
      <w:r>
        <w:rPr>
          <w:color w:val="555555"/>
          <w:sz w:val="18"/>
        </w:rPr>
        <w:t xml:space="preserve">Stand: 10.06.2019 (konsolidierte Textfassung, kein amtliches Inkrafttretensdatum)</w:t>
      </w:r>
    </w:p>
    <w:p>
      <w:r>
        <w:t xml:space="preserve">(1) Die geschäftliche Entwicklung des Instituts ist unter Gegenüberstellung der für sie kennzeichnenden Zahlen des Berichtsjahres und des Vorjahres darzustellen und zu erläutern.</w:t>
      </w:r>
    </w:p>
    <w:p>
      <w:r>
        <w:t xml:space="preserve">(2) Bei Instituten mit Geschäftsbereichen, für die nach deutschem Recht ein gesonderter Jahresabschluss erstellt wird (getrennt bilanzierende Bereiche), ist die geschäftliche Entwicklung der getrennt bilanzierenden Bereiche und des übrigen Geschäfts jeweils gesondert darzustellen und zu erläutern.</w:t>
      </w:r>
    </w:p>
    <w:p>
      <w:r>
        <w:t xml:space="preserve">(3) Bei Kreditinstituten, die einem genossenschaftlichen oder einem wohnungswirtschaftlichen Prüfungsverband angeschlossen sind oder von der Prüfungsstelle eines Sparkassen- und Giroverbandes geprüft werden, sind bei der Darstellung und Beurteilung der Vermögens-, Liquiditäts- und Ertragslage zum Vergleich auch Kennziffern für die Gesamtheit der Kreditinstitute oder von Gruppen vergleichbarer Kreditinstitute des betreffenden Prüfungsverbandes oder des Bereiches der betreffenden Prüfungsstelle (Durchschnittskennziffern) heranzuziehen.</w:t>
      </w:r>
    </w:p>
    <w:p>
      <w:r>
        <w:rPr>
          <w:color w:val="555555"/>
          <w:sz w:val="17"/>
        </w:rPr>
        <w:t xml:space="preserve">Zitiervorschlag: § 38 PrüfbV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https://recht.nulegal.eu/gesetze/Pr%C3%BCfbV%202015/38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 PrüfbV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