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PrüfbV 2015 — Ausnahmen für gruppenangehörige Institute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gruppenangehörige Unternehmen von Institutsgruppen und Finanzholding-Gruppen, die die Bundesanstalt gemäß § 2a Absatz 2 des Kreditwesengesetzes freigestellt hat, sind nach Maßgabe der Freistellung die Vorschriften des § 10 betreffend das interne Kontrollverfahren, der §§ 12, 13, 19, 20, 21 sowie des § 31 Absatz 1 Satz 3 und des § 34 Absatz 3 dieser Verordnung nicht anwendbar.</w:t>
      </w:r>
    </w:p>
    <w:p>
      <w:r>
        <w:t xml:space="preserve">(2) § 23 ist bei der Freistellung durch die Bundesanstalt gemäß § 2a Absatz 4 des Kreditwesengesetzes nicht anzuwenden.</w:t>
      </w:r>
    </w:p>
    <w:p>
      <w:r>
        <w:t xml:space="preserve">(3) Der Abschlussprüfer hat darüber zu berichten, ob die Voraussetzungen gemäß § 2a des Kreditwesengesetzes vorliegen.</w:t>
      </w:r>
    </w:p>
    <w:p>
      <w:r>
        <w:rPr>
          <w:color w:val="555555"/>
          <w:sz w:val="17"/>
        </w:rPr>
        <w:t xml:space="preserve">Zitiervorschlag: § 30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