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29b PrüfbV 2015 — Darstellung und Beurteilung der getroffenen Vorkehrungen zur Einhaltung der Pflichten nach dem Zahlungskontengesetz</w:t>
      </w:r>
    </w:p>
    <w:p>
      <w:r>
        <w:rPr>
          <w:color w:val="555555"/>
          <w:sz w:val="18"/>
        </w:rPr>
        <w:t xml:space="preserve">Prüfungsberichtsverordnung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Kreditinstituten hat der Abschlussprüfer zu beurteilen, ob die von dem Kreditinstitut getroffenen internen Vorkehrungen den Anforderungen des Zahlungskontengesetzes entsprechen. Die Beurteilung umfasst die Einhaltung der Bestimmungen zu</w:t>
      </w:r>
    </w:p>
    <w:p>
      <w:pPr>
        <w:ind w:left="420"/>
      </w:pPr>
      <w:r>
        <w:t xml:space="preserve">1. den Informationspflichten gemäß den §§ 5 bis 15 des Zahlungskontengesetzes,</w:t>
      </w:r>
    </w:p>
    <w:p>
      <w:pPr>
        <w:ind w:left="420"/>
      </w:pPr>
      <w:r>
        <w:t xml:space="preserve">2. der Kontenwechselhilfe gemäß den §§ 20 bis 26 des Zahlungskontengesetzes,</w:t>
      </w:r>
    </w:p>
    <w:p>
      <w:pPr>
        <w:ind w:left="420"/>
      </w:pPr>
      <w:r>
        <w:t xml:space="preserve">3. der Erleichterung grenzüberschreitender Kontoeröffnungen gemäß den §§ 27 bis 29 des Zahlungskontengesetzes,</w:t>
      </w:r>
    </w:p>
    <w:p>
      <w:pPr>
        <w:ind w:left="420"/>
      </w:pPr>
      <w:r>
        <w:t xml:space="preserve">4. den Zahlungskonten mit grundlegenden Funktionen gemäß den §§ 30 bis 44 des Zahlungskontengesetzes und insbesondere</w:t>
      </w:r>
    </w:p>
    <w:p>
      <w:pPr>
        <w:ind w:left="780"/>
      </w:pPr>
      <w:r>
        <w:t xml:space="preserve">a) die Einhaltung der Regelungen zur Zulässigkeit sowie zur Form und Frist von Ablehnungen von Anträgen auf Abschluss eines Basiskontovertrags gemäß den §§ 31 bis 37 des Zahlungskontengesetzes sowie</w:t>
      </w:r>
    </w:p>
    <w:p>
      <w:pPr>
        <w:ind w:left="780"/>
      </w:pPr>
      <w:r>
        <w:t xml:space="preserve">b) die Einhaltung der Regelungen zur Zulässigkeit sowie zur Form und Frist von Kündigungen nach den §§ 42 und 43 des Zahlungskontengesetzes und</w:t>
      </w:r>
    </w:p>
    <w:p>
      <w:pPr>
        <w:ind w:left="420"/>
      </w:pPr>
      <w:r>
        <w:t xml:space="preserve">5. den institutsinternen Organisationspflichten gemäß § 46 Absatz 1 des Zahlungskontengesetzes.</w:t>
      </w:r>
    </w:p>
    <w:p>
      <w:r>
        <w:t xml:space="preserve">(2) Der Abschlussprüfer hat darzustellen, welche Maßnahmen das Kreditinstitut ergriffen hat, um die in Absatz 1 genannten Anforderungen des Zahlungskontengesetzes zu erfüllen.</w:t>
      </w:r>
    </w:p>
    <w:p>
      <w:r>
        <w:t xml:space="preserve">(3) Sofern die Durchführung interner Vorkehrungen durch das Kreditinstitut vertraglich auf eine dritte Person oder ein anderes Unternehmen ausgelagert worden ist, hat der Abschlussprüfer hierüber zu berichten.</w:t>
      </w:r>
    </w:p>
    <w:p>
      <w:r>
        <w:rPr>
          <w:color w:val="555555"/>
          <w:sz w:val="17"/>
        </w:rPr>
        <w:t xml:space="preserve">Zitiervorschlag: § 29b PrüfbV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https://recht.nulegal.eu/gesetze/Pr%C3%BCfbV%202015/29b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29b PrüfbV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