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PrüfbV 2015 — Darstellung und Beurteilung der getroffenen Vorkehrungen zur Einhaltung der Pflichten nach der Verordnung (EU) 2021/1230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Bei Kreditinstituten hat der Abschlussprüfer zu beurteilen, ob die von dem Kreditinstitut getroffenen internen Vorkehrungen den Anforderungen der Verordnung (EU) 2021/1230 des Europäischen Parlaments und des Rates vom 14. Juli 2021 über grenzüberschreitende Zahlungen in der Union (ABl. L 274 vom 30.7.2021, S. 20), die durch die Verordnung (EU) 2024/886 (ABl. L, 2024/886, 19.3.2024) geändert worden ist, entsprechen. Dabei ist zu beurteilen, ob die folgenden Bestimmungen eingehalten werden:</w:t>
      </w:r>
    </w:p>
    <w:p>
      <w:pPr>
        <w:ind w:left="420"/>
      </w:pPr>
      <w:r>
        <w:t xml:space="preserve">1. die Bestimmungen zu Entgelten für grenzüberschreitende Zahlungen nach Artikel 3 Absatz 1 der Verordnung sowie</w:t>
      </w:r>
    </w:p>
    <w:p>
      <w:pPr>
        <w:ind w:left="420"/>
      </w:pPr>
      <w:r>
        <w:t xml:space="preserve">2. die Bestimmungen zu Entgelten nach Artikel 6 Absatz 2 Satz 1 der Verordnung, die über das Entgelt nach Artikel 3 Absatz 1 der Verordnung hinausgehen.</w:t>
      </w:r>
    </w:p>
    <w:p>
      <w:r>
        <w:t xml:space="preserve">(2) Der Abschlussprüfer hat darzustellen, welche Maßnahmen das Kreditinstitut ergriffen hat, um die in Absatz 1 genannten Anforderungen der Verordnung (EU) 2021/1230 zu erfüllen.</w:t>
      </w:r>
    </w:p>
    <w:p>
      <w:r>
        <w:t xml:space="preserve">(3) Sofern das Kreditinstitut das Treffen interner Vorkehrungen vertraglich auf eine dritte Person oder ein anderes Unternehmen ausgelagert hat, hat der Abschlussprüfer hierüber zu berichten.</w:t>
      </w:r>
    </w:p>
    <w:p>
      <w:r>
        <w:rPr>
          <w:color w:val="555555"/>
          <w:sz w:val="17"/>
        </w:rPr>
        <w:t xml:space="preserve">Zitiervorschlag: § 28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PrüfbV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