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PrüfbV 2015 — Liquiditätslage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Liquiditätslage und die Liquiditätssteuerung sind zu beurteilen. Über Maßnahmen zur Verbesserung der Liquiditätslage ist zu berichten.</w:t>
      </w:r>
    </w:p>
    <w:p>
      <w:r>
        <w:t xml:space="preserve">(2) Es ist zu beurteilen, ob die vom Institut getroffenen Vorkehrungen zur ordnungsgemäßen Ermittlung der Liquiditätskennziffer angemessen und die aufsichtlichen Anforderungen an die Berichterstattung über die Liquidität nach Teil 6 der Verordnung (EU) Nr. 575/2013 beachtet worden sind. Dabei ist insbesondere zu beurteilen, ob die vom Institut vorgenommene Abgrenzung der operationellen Einlagen gemäß Artikel 422 Absatz 3 der Verordnung (EU) Nr. 575/2013 sowie die Ermittlung der Abflüsse aus Privatkundeneinlagen sachgemäß sind. Auf Änderungen gegenüber dem letzten Berichtszeitraum ist einzugehen.</w:t>
      </w:r>
    </w:p>
    <w:p>
      <w:r>
        <w:rPr>
          <w:color w:val="555555"/>
          <w:sz w:val="17"/>
        </w:rPr>
        <w:t xml:space="preserve">Zitiervorschlag: § 23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