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PrüfbV 2015 — Kapitalquoten</w:t>
      </w:r>
    </w:p>
    <w:p>
      <w:r>
        <w:rPr>
          <w:color w:val="555555"/>
          <w:sz w:val="18"/>
        </w:rPr>
        <w:t xml:space="preserve">Prüfungsberichtsverordnung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Es ist zu beurteilen, ob die vom Institut getroffenen Vorkehrungen zur ordnungsgemäßen Ermittlung der Kapitalquoten nach Artikel 92 Absatz 1 der Verordnung (EU) Nr. 575/2013 angemessen sind.</w:t>
      </w:r>
    </w:p>
    <w:p>
      <w:r>
        <w:t xml:space="preserve">(2) Die Ermittlung der Kapitalquoten zum Bilanzstichtag ist gegliedert nach den in Artikel 92 Absatz 3 der Verordnung (EU) Nr. 575/2013 aufgeführten Elementen darzustellen. Die Entwicklung der Kapitalquoten ist darzustellen.</w:t>
      </w:r>
    </w:p>
    <w:p>
      <w:r>
        <w:rPr>
          <w:color w:val="555555"/>
          <w:sz w:val="17"/>
        </w:rPr>
        <w:t xml:space="preserve">Zitiervorschlag: § 21 PrüfbV 2015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https://recht.nulegal.eu/gesetze/Pr%C3%BCfbV%202015/21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