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PrüfbV 2015 — Kapitalpuffer</w:t>
      </w:r>
    </w:p>
    <w:p>
      <w:r>
        <w:rPr>
          <w:color w:val="555555"/>
          <w:sz w:val="18"/>
        </w:rPr>
        <w:t xml:space="preserve">Prüfungsberichtsverordnung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Es ist zu beurteilen, ob die vom Institut getroffenen Vorkehrungen zur ordnungsgemäßen Ermittlung der kombinierten Kapitalpuffer-Anforderung gemäß § 10i Absatz 1 des Kreditwesengesetzes angemessen sind. Dabei sind wesentliche Verfahrensänderungen während des Berichtszeitraums darzustellen.</w:t>
      </w:r>
    </w:p>
    <w:p>
      <w:r>
        <w:t xml:space="preserve">(2) Über die Einhaltung der Vorgaben nach § 10i Absatz 2 und 3 des Kreditwesengesetzes ist zu berichten.</w:t>
      </w:r>
    </w:p>
    <w:p>
      <w:r>
        <w:rPr>
          <w:color w:val="555555"/>
          <w:sz w:val="17"/>
        </w:rPr>
        <w:t xml:space="preserve">Zitiervorschlag: § 20 PrüfbV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https://recht.nulegal.eu/gesetze/Pr%C3%BCfbV%202015/20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PrüfbV 2015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