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PrüfbV 2015 — Berichtszeitraum</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Der Zeitraum, auf den sich die Prüfung erstreckt (Berichtszeitraum), ist in der Regel das am Stichtag des Jahresabschlusses (Bilanzstichtag) endende Geschäftsjahr (Berichtsjahr). Bei vom Geschäftsjahr abweichenden Berichtszeiträumen muss sich die Prüfung mindestens auf das Geschäftsjahr erstrecken, das am Bilanzstichtag endet.</w:t>
      </w:r>
    </w:p>
    <w:p>
      <w:r>
        <w:t xml:space="preserve">(2) Wurde die Prüfung unterbrochen, ist in dem Bericht darauf hinzuweisen und die Dauer der Unterbrechung anzugeben; die Gründe für die Unterbrechung sind darzulegen.</w:t>
      </w:r>
    </w:p>
    <w:p>
      <w:r>
        <w:t xml:space="preserve">(3) Bestandsbezogene Angaben im Prüfungsbericht haben sich, soweit sich aus dieser Verordnung nichts anderes ergibt, auf den Bilanzstichtag zu beziehen.</w:t>
      </w:r>
    </w:p>
    <w:p>
      <w:r>
        <w:rPr>
          <w:color w:val="555555"/>
          <w:sz w:val="17"/>
        </w:rPr>
        <w:t xml:space="preserve">Zitiervorschlag: § 2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