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PrüfbV 2015 — Anwendungsbereich</w:t>
      </w:r>
    </w:p>
    <w:p>
      <w:r>
        <w:rPr>
          <w:color w:val="555555"/>
          <w:sz w:val="18"/>
        </w:rPr>
        <w:t xml:space="preserve">Prüfungsberichtsverordnung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regelt</w:t>
      </w:r>
    </w:p>
    <w:p>
      <w:pPr>
        <w:ind w:left="420"/>
      </w:pPr>
      <w:r>
        <w:t xml:space="preserve">1. den Gegenstand und den Zeitpunkt der Prüfung der Institute nach § 29 Absatz 1, auch in Verbindung mit Absatz 1a und Absatz 2 des Kreditwesengesetzes und nach § 68 Absatz 7 des Kapitalanlagegesetzbuchs sowie</w:t>
      </w:r>
    </w:p>
    <w:p>
      <w:pPr>
        <w:ind w:left="420"/>
      </w:pPr>
      <w:r>
        <w:t xml:space="preserve">2. den Inhalt der Prüfungsberichte.</w:t>
      </w:r>
    </w:p>
    <w:p>
      <w:r>
        <w:t xml:space="preserve">Für Wohnungsunternehmen mit Spareinrichtung regelt diese Verordnung zusätzlich Gegenstand und Zeitpunkt der Prüfung nach § 51a Absatz 8 des Kreditwesengesetzes.</w:t>
      </w:r>
    </w:p>
    <w:p>
      <w:r>
        <w:rPr>
          <w:color w:val="555555"/>
          <w:sz w:val="17"/>
        </w:rPr>
        <w:t xml:space="preserve">Zitiervorschlag: § 1 PrüfbV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https://recht.nulegal.eu/gesetze/Pr%C3%BCfbV%202015/1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PrüfbV 2015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