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PrüfVBau (Bayern)</w:t>
      </w:r>
    </w:p>
    <w:p>
      <w:r>
        <w:rPr>
          <w:color w:val="555555"/>
          <w:sz w:val="18"/>
        </w:rPr>
        <w:t xml:space="preserve">Prüfsachverständigenverordnung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80 Abs. 2 der Bayerischen Bauordnung (BayBO) in der Fassung der Bekanntmachung vom 14. August 2007 (GVBl S. 588, BayRS 2132-1-I) erlässt das Bayerische Staatsministerium des Innern folgende Verordnung:</w:t>
      </w:r>
    </w:p>
    <w:p>
      <w:r>
        <w:rPr>
          <w:color w:val="555555"/>
          <w:sz w:val="17"/>
        </w:rPr>
        <w:t xml:space="preserve">Zitiervorschlag: Eingangsformel PrüfVBau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https://recht.nulegal.eu/gesetze/Pr%C3%BCfVBau/eingangsformel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