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PrüfVBau (Bayern) — Inkrafttreten, Außerkrafttreten, Übergangsvorschriften</w:t>
      </w:r>
    </w:p>
    <w:p>
      <w:r>
        <w:rPr>
          <w:color w:val="555555"/>
          <w:sz w:val="18"/>
        </w:rPr>
        <w:t xml:space="preserve">Prüfsachverständigenverordnung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Januar 2008 in Kraft; sie tritt mit Ablauf des 31. Dezember 2028 außer Kraft.</w:t>
      </w:r>
    </w:p>
    <w:p>
      <w:r>
        <w:t xml:space="preserve">(2) Nach der Verordnung über die verantwortlichen Sachverständigen im Bauwesen (SachverständigenverordnungBau – SVBau) vom 24. September 2001 (GVBl S. 578, BayRS 2132-1-10-I) anerkannte verantwortliche Sachverständige für die Fachbereiche Standsicherheit, vorbeugender Brandschutz, Vermessung im Bauwesen, sicherheitstechnische Anlagen und Einrichtungen sowie Erd- und Grundbau gelten als Prüfsachverständige im Sinn dieser Verordnung für die entsprechenden Fachbereiche.</w:t>
      </w:r>
    </w:p>
    <w:p>
      <w:r>
        <w:rPr>
          <w:color w:val="555555"/>
          <w:sz w:val="17"/>
        </w:rPr>
        <w:t xml:space="preserve">Zitiervorschlag: § 38 PrüfVBau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https://recht.nulegal.eu/gesetze/Pr%C3%BCfVBau/38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